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0CC13">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附件3-4：</w:t>
      </w:r>
    </w:p>
    <w:p w14:paraId="22BC8CE8">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eastAsia="zh-CN"/>
        </w:rPr>
        <w:t>永州市城发物业管理有限公司</w:t>
      </w:r>
      <w:r>
        <w:rPr>
          <w:rFonts w:hint="eastAsia" w:ascii="黑体" w:hAnsi="黑体" w:eastAsia="黑体" w:cs="黑体"/>
          <w:sz w:val="44"/>
          <w:szCs w:val="44"/>
          <w:u w:val="none"/>
          <w:lang w:val="en-US" w:eastAsia="zh-CN"/>
        </w:rPr>
        <w:t>自营</w:t>
      </w:r>
      <w:r>
        <w:rPr>
          <w:rFonts w:hint="eastAsia" w:ascii="黑体" w:hAnsi="黑体" w:eastAsia="黑体" w:cs="黑体"/>
          <w:sz w:val="44"/>
          <w:szCs w:val="44"/>
          <w:lang w:val="en-US" w:eastAsia="zh-CN"/>
        </w:rPr>
        <w:t>项目</w:t>
      </w:r>
    </w:p>
    <w:p w14:paraId="64E37CBD">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sz w:val="44"/>
          <w:szCs w:val="44"/>
          <w:lang w:val="en-US" w:eastAsia="zh-CN"/>
        </w:rPr>
      </w:pPr>
      <w:bookmarkStart w:id="0" w:name="_GoBack"/>
      <w:r>
        <w:rPr>
          <w:rFonts w:hint="eastAsia" w:ascii="黑体" w:hAnsi="黑体" w:eastAsia="黑体" w:cs="黑体"/>
          <w:sz w:val="44"/>
          <w:szCs w:val="44"/>
          <w:lang w:eastAsia="zh-CN"/>
        </w:rPr>
        <w:t>秩序服务公司</w:t>
      </w:r>
      <w:r>
        <w:rPr>
          <w:rFonts w:hint="eastAsia" w:ascii="黑体" w:hAnsi="黑体" w:eastAsia="黑体" w:cs="黑体"/>
          <w:sz w:val="44"/>
          <w:szCs w:val="44"/>
          <w:lang w:val="en-US" w:eastAsia="zh-CN"/>
        </w:rPr>
        <w:t>管理办法</w:t>
      </w:r>
    </w:p>
    <w:bookmarkEnd w:id="0"/>
    <w:p w14:paraId="495CF4B7">
      <w:pPr>
        <w:pStyle w:val="11"/>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黑体" w:hAnsi="黑体" w:eastAsia="黑体" w:cs="黑体"/>
          <w:sz w:val="44"/>
          <w:szCs w:val="44"/>
          <w:lang w:val="en-US" w:eastAsia="zh-CN"/>
        </w:rPr>
      </w:pPr>
    </w:p>
    <w:p w14:paraId="3B56CDF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一、编制目的</w:t>
      </w:r>
    </w:p>
    <w:p w14:paraId="6D24576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为进一步提升</w:t>
      </w:r>
      <w:r>
        <w:rPr>
          <w:rFonts w:hint="eastAsia" w:ascii="仿宋" w:hAnsi="仿宋" w:eastAsia="仿宋" w:cs="仿宋"/>
          <w:b w:val="0"/>
          <w:bCs w:val="0"/>
          <w:sz w:val="32"/>
          <w:szCs w:val="32"/>
          <w:lang w:val="en-US" w:eastAsia="zh-CN"/>
        </w:rPr>
        <w:t>项目小区</w:t>
      </w:r>
      <w:r>
        <w:rPr>
          <w:rFonts w:hint="eastAsia" w:ascii="仿宋" w:hAnsi="仿宋" w:eastAsia="仿宋" w:cs="仿宋"/>
          <w:b w:val="0"/>
          <w:bCs w:val="0"/>
          <w:sz w:val="32"/>
          <w:szCs w:val="32"/>
          <w:lang w:eastAsia="zh-CN"/>
        </w:rPr>
        <w:t>秩序管理水平，树立优质服务品牌形象，</w:t>
      </w:r>
      <w:r>
        <w:rPr>
          <w:rFonts w:hint="eastAsia" w:ascii="仿宋" w:hAnsi="仿宋" w:eastAsia="仿宋" w:cs="仿宋"/>
          <w:b w:val="0"/>
          <w:bCs w:val="0"/>
          <w:sz w:val="32"/>
          <w:szCs w:val="32"/>
          <w:lang w:val="en-US" w:eastAsia="zh-CN"/>
        </w:rPr>
        <w:t>适应公司市场化改革需要，</w:t>
      </w:r>
      <w:r>
        <w:rPr>
          <w:rFonts w:hint="eastAsia" w:ascii="仿宋" w:hAnsi="仿宋" w:eastAsia="仿宋" w:cs="仿宋"/>
          <w:b w:val="0"/>
          <w:bCs w:val="0"/>
          <w:sz w:val="32"/>
          <w:szCs w:val="32"/>
          <w:lang w:eastAsia="zh-CN"/>
        </w:rPr>
        <w:t>通过</w:t>
      </w:r>
      <w:r>
        <w:rPr>
          <w:rFonts w:hint="eastAsia" w:ascii="仿宋" w:hAnsi="仿宋" w:eastAsia="仿宋" w:cs="仿宋"/>
          <w:b w:val="0"/>
          <w:bCs w:val="0"/>
          <w:sz w:val="32"/>
          <w:szCs w:val="32"/>
          <w:lang w:val="en-US" w:eastAsia="zh-CN"/>
        </w:rPr>
        <w:t>市场公开招采方式</w:t>
      </w:r>
      <w:r>
        <w:rPr>
          <w:rFonts w:hint="eastAsia" w:ascii="仿宋" w:hAnsi="仿宋" w:eastAsia="仿宋" w:cs="仿宋"/>
          <w:b w:val="0"/>
          <w:bCs w:val="0"/>
          <w:sz w:val="32"/>
          <w:szCs w:val="32"/>
          <w:lang w:eastAsia="zh-CN"/>
        </w:rPr>
        <w:t>择优选择</w:t>
      </w:r>
      <w:r>
        <w:rPr>
          <w:rFonts w:hint="eastAsia" w:ascii="仿宋" w:hAnsi="仿宋" w:eastAsia="仿宋" w:cs="仿宋"/>
          <w:b w:val="0"/>
          <w:bCs w:val="0"/>
          <w:sz w:val="32"/>
          <w:szCs w:val="32"/>
          <w:lang w:val="en-US" w:eastAsia="zh-CN"/>
        </w:rPr>
        <w:t>1~2家</w:t>
      </w:r>
      <w:r>
        <w:rPr>
          <w:rFonts w:hint="eastAsia" w:ascii="仿宋" w:hAnsi="仿宋" w:eastAsia="仿宋" w:cs="仿宋"/>
          <w:b w:val="0"/>
          <w:bCs w:val="0"/>
          <w:sz w:val="32"/>
          <w:szCs w:val="32"/>
          <w:lang w:eastAsia="zh-CN"/>
        </w:rPr>
        <w:t>专业素质突出的秩序服务公司</w:t>
      </w:r>
      <w:r>
        <w:rPr>
          <w:rFonts w:hint="eastAsia" w:ascii="仿宋" w:hAnsi="仿宋" w:eastAsia="仿宋" w:cs="仿宋"/>
          <w:b w:val="0"/>
          <w:bCs w:val="0"/>
          <w:sz w:val="32"/>
          <w:szCs w:val="32"/>
          <w:lang w:val="en-US" w:eastAsia="zh-CN"/>
        </w:rPr>
        <w:t>建立长期合作关系，</w:t>
      </w:r>
      <w:r>
        <w:rPr>
          <w:rFonts w:hint="eastAsia" w:ascii="仿宋" w:hAnsi="仿宋" w:eastAsia="仿宋" w:cs="仿宋"/>
          <w:b w:val="0"/>
          <w:bCs w:val="0"/>
          <w:sz w:val="32"/>
          <w:szCs w:val="32"/>
          <w:lang w:eastAsia="zh-CN"/>
        </w:rPr>
        <w:t>共同实现</w:t>
      </w:r>
      <w:r>
        <w:rPr>
          <w:rFonts w:hint="eastAsia" w:ascii="仿宋" w:hAnsi="仿宋" w:eastAsia="仿宋" w:cs="仿宋"/>
          <w:b w:val="0"/>
          <w:bCs w:val="0"/>
          <w:sz w:val="32"/>
          <w:szCs w:val="32"/>
          <w:lang w:val="en-US" w:eastAsia="zh-CN"/>
        </w:rPr>
        <w:t>自营小区</w:t>
      </w:r>
      <w:r>
        <w:rPr>
          <w:rFonts w:hint="eastAsia" w:ascii="仿宋" w:hAnsi="仿宋" w:eastAsia="仿宋" w:cs="仿宋"/>
          <w:b w:val="0"/>
          <w:bCs w:val="0"/>
          <w:sz w:val="32"/>
          <w:szCs w:val="32"/>
          <w:lang w:eastAsia="zh-CN"/>
        </w:rPr>
        <w:t>秩序</w:t>
      </w:r>
      <w:r>
        <w:rPr>
          <w:rFonts w:hint="eastAsia" w:ascii="仿宋" w:hAnsi="仿宋" w:eastAsia="仿宋" w:cs="仿宋"/>
          <w:b w:val="0"/>
          <w:bCs w:val="0"/>
          <w:sz w:val="32"/>
          <w:szCs w:val="32"/>
          <w:lang w:val="en-US" w:eastAsia="zh-CN"/>
        </w:rPr>
        <w:t>管理</w:t>
      </w:r>
      <w:r>
        <w:rPr>
          <w:rFonts w:hint="eastAsia" w:ascii="仿宋" w:hAnsi="仿宋" w:eastAsia="仿宋" w:cs="仿宋"/>
          <w:b w:val="0"/>
          <w:bCs w:val="0"/>
          <w:sz w:val="32"/>
          <w:szCs w:val="32"/>
        </w:rPr>
        <w:t>专业化、规范化</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高效化</w:t>
      </w:r>
      <w:r>
        <w:rPr>
          <w:rFonts w:hint="eastAsia" w:ascii="仿宋" w:hAnsi="仿宋" w:eastAsia="仿宋" w:cs="仿宋"/>
          <w:b w:val="0"/>
          <w:bCs w:val="0"/>
          <w:sz w:val="32"/>
          <w:szCs w:val="32"/>
          <w:lang w:eastAsia="zh-CN"/>
        </w:rPr>
        <w:t>目标；积累管理经验，为远期自行成立秩序服务公司奠定基础。</w:t>
      </w:r>
    </w:p>
    <w:p w14:paraId="11AC3F9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二、合作目标</w:t>
      </w:r>
    </w:p>
    <w:p w14:paraId="030A35F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一是实现项目秩序管理全面覆盖，显著</w:t>
      </w:r>
      <w:r>
        <w:rPr>
          <w:rFonts w:hint="eastAsia" w:ascii="仿宋" w:hAnsi="仿宋" w:eastAsia="仿宋" w:cs="仿宋"/>
          <w:b w:val="0"/>
          <w:bCs w:val="0"/>
          <w:sz w:val="32"/>
          <w:szCs w:val="32"/>
          <w:lang w:val="en-US" w:eastAsia="zh-CN"/>
        </w:rPr>
        <w:t>消除秩序隐患，保障项目良好运行秩序，保护业主人身财产安全；</w:t>
      </w:r>
    </w:p>
    <w:p w14:paraId="150B3DD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二是提升秩序管理专业化、标准化水平，为客户及业主提供更加优质、高效、贴心的服务体验；</w:t>
      </w:r>
    </w:p>
    <w:p w14:paraId="110CD68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三是优化物业项目管理团队，提升公司品牌美誉度与市场竞争力；</w:t>
      </w:r>
    </w:p>
    <w:p w14:paraId="1FC09E1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四是共同推进项目秩序管理质量的提升，</w:t>
      </w:r>
      <w:r>
        <w:rPr>
          <w:rFonts w:hint="eastAsia" w:ascii="仿宋" w:hAnsi="仿宋" w:eastAsia="仿宋" w:cs="仿宋"/>
          <w:b w:val="0"/>
          <w:bCs w:val="0"/>
          <w:sz w:val="32"/>
          <w:szCs w:val="32"/>
          <w:lang w:val="en-US" w:eastAsia="zh-CN"/>
        </w:rPr>
        <w:t>构建长期稳定、互利共赢的合作关系</w:t>
      </w:r>
      <w:r>
        <w:rPr>
          <w:rFonts w:hint="eastAsia" w:ascii="仿宋" w:hAnsi="仿宋" w:eastAsia="仿宋" w:cs="仿宋"/>
          <w:b w:val="0"/>
          <w:bCs w:val="0"/>
          <w:sz w:val="32"/>
          <w:szCs w:val="32"/>
          <w:lang w:eastAsia="zh-CN"/>
        </w:rPr>
        <w:t>。</w:t>
      </w:r>
    </w:p>
    <w:p w14:paraId="25440B9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三、服务范围</w:t>
      </w:r>
    </w:p>
    <w:p w14:paraId="32B551A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服务项目详见项目清单</w:t>
      </w:r>
      <w:r>
        <w:rPr>
          <w:rFonts w:hint="eastAsia" w:ascii="仿宋" w:hAnsi="仿宋" w:eastAsia="仿宋" w:cs="仿宋"/>
          <w:b w:val="0"/>
          <w:bCs w:val="0"/>
          <w:sz w:val="32"/>
          <w:szCs w:val="32"/>
          <w:lang w:eastAsia="zh-CN"/>
        </w:rPr>
        <w:t>，服务区域涵盖项目红线内所有公共区域、周边附属设施、地下车库、绿化区域、公共活动空间以及项目周边合理管控范围。</w:t>
      </w:r>
    </w:p>
    <w:p w14:paraId="28E1268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四、服务内容</w:t>
      </w:r>
    </w:p>
    <w:p w14:paraId="0114F70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（一）巡逻服务</w:t>
      </w:r>
    </w:p>
    <w:p w14:paraId="5B9182A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严格按规定巡逻路线和频次开展巡逻，白天每</w:t>
      </w:r>
      <w:r>
        <w:rPr>
          <w:rFonts w:hint="eastAsia" w:ascii="仿宋" w:hAnsi="仿宋" w:eastAsia="仿宋" w:cs="仿宋"/>
          <w:b w:val="0"/>
          <w:bCs w:val="0"/>
          <w:sz w:val="32"/>
          <w:szCs w:val="32"/>
          <w:lang w:val="en-US" w:eastAsia="zh-CN"/>
        </w:rPr>
        <w:t>2小时一次、夜间每3小时一次。巡逻过程中，重点排查防火、防盗、防破坏等安全隐患，询问可疑人员和物品，检查公共设施设备完好情况，及时发现并处理各类异常情况，详细做好巡逻记录，包括巡逻时间、地点、发现的问题及处理措施等。</w:t>
      </w:r>
    </w:p>
    <w:p w14:paraId="11E5650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（二）门岗服务</w:t>
      </w:r>
    </w:p>
    <w:p w14:paraId="3403B85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按项目管理要求服从值守安排，确保</w:t>
      </w:r>
      <w:r>
        <w:rPr>
          <w:rFonts w:hint="eastAsia" w:ascii="仿宋" w:hAnsi="仿宋" w:eastAsia="仿宋" w:cs="仿宋"/>
          <w:b w:val="0"/>
          <w:bCs w:val="0"/>
          <w:sz w:val="32"/>
          <w:szCs w:val="32"/>
          <w:lang w:val="en-US" w:eastAsia="zh-CN"/>
        </w:rPr>
        <w:t>24</w:t>
      </w:r>
      <w:r>
        <w:rPr>
          <w:rFonts w:hint="eastAsia" w:ascii="仿宋" w:hAnsi="仿宋" w:eastAsia="仿宋" w:cs="仿宋"/>
          <w:b w:val="0"/>
          <w:bCs w:val="0"/>
          <w:sz w:val="32"/>
          <w:szCs w:val="32"/>
          <w:lang w:eastAsia="zh-CN"/>
        </w:rPr>
        <w:t>小时不间断值守，核实、登记来访人员及车辆，引导车辆有序停放，维护出入口秩序，对无关人员、可疑车辆进入进行管控，保障通道畅通；核实携带大件物品出入人员的物品来源及相关手续，防范盗窃事件；正确操作出入口道闸、门禁等设备，保持岗亭内外及周边区域清洁，展现良好服务形象。</w:t>
      </w:r>
    </w:p>
    <w:p w14:paraId="5881155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（三）监控服务</w:t>
      </w:r>
    </w:p>
    <w:p w14:paraId="6BA7FE6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派驻项目秩序人员中，有消防值守要求的项目至少派驻</w:t>
      </w:r>
      <w:r>
        <w:rPr>
          <w:rFonts w:hint="eastAsia" w:ascii="仿宋" w:hAnsi="仿宋" w:eastAsia="仿宋" w:cs="仿宋"/>
          <w:b w:val="0"/>
          <w:bCs w:val="0"/>
          <w:sz w:val="32"/>
          <w:szCs w:val="32"/>
          <w:lang w:val="en-US" w:eastAsia="zh-CN"/>
        </w:rPr>
        <w:t>持消防设施操作员证秩序人员2人，</w:t>
      </w:r>
      <w:r>
        <w:rPr>
          <w:rFonts w:hint="eastAsia" w:ascii="仿宋" w:hAnsi="仿宋" w:eastAsia="仿宋" w:cs="仿宋"/>
          <w:b w:val="0"/>
          <w:bCs w:val="0"/>
          <w:sz w:val="32"/>
          <w:szCs w:val="32"/>
          <w:lang w:eastAsia="zh-CN"/>
        </w:rPr>
        <w:t>负责项目监控中心值班工作，密切关注监控画面，及时发现异常情况。若监控范围内出现违法违规行为、安全事故、设备故障、</w:t>
      </w:r>
      <w:r>
        <w:rPr>
          <w:rFonts w:hint="eastAsia" w:ascii="仿宋" w:hAnsi="仿宋" w:eastAsia="仿宋" w:cs="仿宋"/>
          <w:b w:val="0"/>
          <w:bCs w:val="0"/>
          <w:sz w:val="32"/>
          <w:szCs w:val="32"/>
          <w:lang w:val="en-US" w:eastAsia="zh-CN"/>
        </w:rPr>
        <w:t>财物</w:t>
      </w:r>
      <w:r>
        <w:rPr>
          <w:rFonts w:hint="eastAsia" w:ascii="仿宋" w:hAnsi="仿宋" w:eastAsia="仿宋" w:cs="仿宋"/>
          <w:b w:val="0"/>
          <w:bCs w:val="0"/>
          <w:sz w:val="32"/>
          <w:szCs w:val="32"/>
          <w:lang w:eastAsia="zh-CN"/>
        </w:rPr>
        <w:t>损毁等情况，立即通知巡逻人员，</w:t>
      </w:r>
      <w:r>
        <w:rPr>
          <w:rFonts w:hint="eastAsia" w:ascii="仿宋" w:hAnsi="仿宋" w:eastAsia="仿宋" w:cs="仿宋"/>
          <w:b w:val="0"/>
          <w:bCs w:val="0"/>
          <w:sz w:val="32"/>
          <w:szCs w:val="32"/>
          <w:u w:val="none"/>
          <w:lang w:val="en-US" w:eastAsia="zh-CN"/>
        </w:rPr>
        <w:t>确保5分钟内到达现场进行</w:t>
      </w:r>
      <w:r>
        <w:rPr>
          <w:rFonts w:hint="eastAsia" w:ascii="仿宋" w:hAnsi="仿宋" w:eastAsia="仿宋" w:cs="仿宋"/>
          <w:b w:val="0"/>
          <w:bCs w:val="0"/>
          <w:sz w:val="32"/>
          <w:szCs w:val="32"/>
          <w:u w:val="none"/>
          <w:lang w:eastAsia="zh-CN"/>
        </w:rPr>
        <w:t>处置，</w:t>
      </w:r>
      <w:r>
        <w:rPr>
          <w:rFonts w:hint="eastAsia" w:ascii="仿宋" w:hAnsi="仿宋" w:eastAsia="仿宋" w:cs="仿宋"/>
          <w:b w:val="0"/>
          <w:bCs w:val="0"/>
          <w:sz w:val="32"/>
          <w:szCs w:val="32"/>
          <w:lang w:eastAsia="zh-CN"/>
        </w:rPr>
        <w:t>并做好监控记录的保存和备份。定期检查、维护监控设备，确保设备正常运行，发现故障及时报修。</w:t>
      </w:r>
    </w:p>
    <w:p w14:paraId="72406F2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（四）突发事件应对</w:t>
      </w:r>
    </w:p>
    <w:p w14:paraId="09A3609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派驻项目秩序人员均需具备一定应急处理能力，应急事件发生后，第一时间响应并采取处置措施。如火灾发生时，立即组织人员疏散，开展初期扑救并及时报警；遭遇盗窃、斗殴等违法行为时，防止事态扩大并控制现场，协助公安机关调查处理；自然灾害来临前，引导业主做好门窗加固、排水管道清理等防范准备，灾后积极配合救援与恢复工作。每季度配合项目服务中心开展</w:t>
      </w: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次应急演练，确保秩序人员熟练掌握应急处置技能。</w:t>
      </w:r>
    </w:p>
    <w:p w14:paraId="0FB99B7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（五）其他增值服务</w:t>
      </w:r>
    </w:p>
    <w:p w14:paraId="4F78BFEF">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    参加小区秩序整治、绿化维护、环境综合治理、消防隐患消除等专项行动。</w:t>
      </w:r>
    </w:p>
    <w:p w14:paraId="062B570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color w:val="FF0000"/>
          <w:sz w:val="32"/>
          <w:szCs w:val="32"/>
          <w:lang w:eastAsia="zh-CN"/>
        </w:rPr>
      </w:pPr>
      <w:r>
        <w:rPr>
          <w:rFonts w:hint="eastAsia" w:ascii="黑体" w:hAnsi="黑体" w:eastAsia="黑体" w:cs="黑体"/>
          <w:b/>
          <w:bCs/>
          <w:color w:val="FF0000"/>
          <w:sz w:val="32"/>
          <w:szCs w:val="32"/>
          <w:lang w:eastAsia="zh-CN"/>
        </w:rPr>
        <w:t>五、秩序服务公司资格要求</w:t>
      </w:r>
    </w:p>
    <w:p w14:paraId="651DAB7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color w:val="FF0000"/>
          <w:sz w:val="32"/>
          <w:szCs w:val="32"/>
          <w:lang w:val="en-US" w:eastAsia="zh-CN"/>
        </w:rPr>
      </w:pPr>
      <w:r>
        <w:rPr>
          <w:rFonts w:hint="eastAsia" w:ascii="仿宋" w:hAnsi="仿宋" w:eastAsia="仿宋" w:cs="仿宋"/>
          <w:b w:val="0"/>
          <w:bCs w:val="0"/>
          <w:color w:val="FF0000"/>
          <w:sz w:val="32"/>
          <w:szCs w:val="32"/>
          <w:lang w:val="en-US" w:eastAsia="zh-CN"/>
        </w:rPr>
        <w:t>招标工作原则上委托咨询公司开展，招标文件围绕“合法合规 择优选择”原则需对法定主体与资质、注册资本、管理体系认证、项目业绩、团队成员要求（职业资格证书、简历、社保记录、健康状况等）、财务与信用状况、投标保证金、履约保证金等作出明确要求。</w:t>
      </w:r>
    </w:p>
    <w:p w14:paraId="046FBFC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六、秩序服务标准要求</w:t>
      </w:r>
    </w:p>
    <w:p w14:paraId="638461F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（一）人员基本要求</w:t>
      </w:r>
    </w:p>
    <w:p w14:paraId="0332572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人员年龄：</w:t>
      </w:r>
      <w:r>
        <w:rPr>
          <w:rFonts w:hint="eastAsia" w:ascii="仿宋" w:hAnsi="仿宋" w:eastAsia="仿宋" w:cs="仿宋"/>
          <w:b w:val="0"/>
          <w:bCs w:val="0"/>
          <w:sz w:val="32"/>
          <w:szCs w:val="32"/>
          <w:lang w:val="en-US" w:eastAsia="zh-CN"/>
        </w:rPr>
        <w:t>普通秩序队员</w:t>
      </w:r>
      <w:r>
        <w:rPr>
          <w:rFonts w:hint="eastAsia" w:ascii="仿宋" w:hAnsi="仿宋" w:eastAsia="仿宋" w:cs="仿宋"/>
          <w:b w:val="0"/>
          <w:bCs w:val="0"/>
          <w:sz w:val="32"/>
          <w:szCs w:val="32"/>
          <w:lang w:eastAsia="zh-CN"/>
        </w:rPr>
        <w:t>男性年龄不超过</w:t>
      </w:r>
      <w:r>
        <w:rPr>
          <w:rFonts w:hint="eastAsia" w:ascii="仿宋" w:hAnsi="仿宋" w:eastAsia="仿宋" w:cs="仿宋"/>
          <w:b w:val="0"/>
          <w:bCs w:val="0"/>
          <w:sz w:val="32"/>
          <w:szCs w:val="32"/>
          <w:lang w:val="en-US" w:eastAsia="zh-CN"/>
        </w:rPr>
        <w:t>55周岁、女性年龄不超过50周岁，单个项目</w:t>
      </w:r>
      <w:r>
        <w:rPr>
          <w:rFonts w:hint="eastAsia" w:ascii="仿宋" w:hAnsi="仿宋" w:eastAsia="仿宋" w:cs="仿宋"/>
          <w:b w:val="0"/>
          <w:bCs w:val="0"/>
          <w:sz w:val="32"/>
          <w:szCs w:val="32"/>
          <w:u w:val="none"/>
          <w:lang w:val="en-US" w:eastAsia="zh-CN"/>
        </w:rPr>
        <w:t>55周岁以下秩序人员占比</w:t>
      </w:r>
      <w:r>
        <w:rPr>
          <w:rFonts w:hint="eastAsia" w:ascii="仿宋" w:hAnsi="仿宋" w:eastAsia="仿宋" w:cs="仿宋"/>
          <w:b w:val="0"/>
          <w:bCs w:val="0"/>
          <w:sz w:val="32"/>
          <w:szCs w:val="32"/>
          <w:u w:val="none"/>
          <w:lang w:eastAsia="zh-CN"/>
        </w:rPr>
        <w:t>不低于</w:t>
      </w:r>
      <w:r>
        <w:rPr>
          <w:rFonts w:hint="eastAsia" w:ascii="仿宋" w:hAnsi="仿宋" w:eastAsia="仿宋" w:cs="仿宋"/>
          <w:b w:val="0"/>
          <w:bCs w:val="0"/>
          <w:sz w:val="32"/>
          <w:szCs w:val="32"/>
          <w:u w:val="none"/>
          <w:lang w:val="en-US" w:eastAsia="zh-CN"/>
        </w:rPr>
        <w:t>60%</w:t>
      </w:r>
      <w:r>
        <w:rPr>
          <w:rFonts w:hint="eastAsia" w:ascii="仿宋" w:hAnsi="仿宋" w:eastAsia="仿宋" w:cs="仿宋"/>
          <w:b w:val="0"/>
          <w:bCs w:val="0"/>
          <w:sz w:val="32"/>
          <w:szCs w:val="32"/>
          <w:lang w:val="en-US" w:eastAsia="zh-CN"/>
        </w:rPr>
        <w:t>。所有岗位退伍军人优先；人员数量及</w:t>
      </w:r>
      <w:r>
        <w:rPr>
          <w:rFonts w:hint="eastAsia" w:ascii="仿宋" w:hAnsi="仿宋" w:eastAsia="仿宋" w:cs="仿宋"/>
          <w:b w:val="0"/>
          <w:bCs w:val="0"/>
          <w:color w:val="auto"/>
          <w:sz w:val="32"/>
          <w:szCs w:val="32"/>
          <w:lang w:val="en-US" w:eastAsia="zh-CN"/>
        </w:rPr>
        <w:t>具体要求详见《永州市城发物业管理有限公司项目秩序岗位需求明细表》；后续扩展项目参照此办法执行。</w:t>
      </w:r>
    </w:p>
    <w:p w14:paraId="67F874C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身体素质：身体健康，首次</w:t>
      </w:r>
      <w:r>
        <w:rPr>
          <w:rFonts w:hint="eastAsia" w:ascii="仿宋" w:hAnsi="仿宋" w:eastAsia="仿宋" w:cs="仿宋"/>
          <w:b w:val="0"/>
          <w:bCs w:val="0"/>
          <w:sz w:val="32"/>
          <w:szCs w:val="32"/>
          <w:lang w:val="en-US" w:eastAsia="zh-CN"/>
        </w:rPr>
        <w:t>编入项目代管序列人员</w:t>
      </w:r>
      <w:r>
        <w:rPr>
          <w:rFonts w:hint="eastAsia" w:ascii="仿宋" w:hAnsi="仿宋" w:eastAsia="仿宋" w:cs="仿宋"/>
          <w:b w:val="0"/>
          <w:bCs w:val="0"/>
          <w:sz w:val="32"/>
          <w:szCs w:val="32"/>
          <w:lang w:eastAsia="zh-CN"/>
        </w:rPr>
        <w:t>需提供近</w:t>
      </w:r>
      <w:r>
        <w:rPr>
          <w:rFonts w:hint="eastAsia" w:ascii="仿宋" w:hAnsi="仿宋" w:eastAsia="仿宋" w:cs="仿宋"/>
          <w:b w:val="0"/>
          <w:bCs w:val="0"/>
          <w:sz w:val="32"/>
          <w:szCs w:val="32"/>
          <w:lang w:val="en-US" w:eastAsia="zh-CN"/>
        </w:rPr>
        <w:t>3个月内由三甲医院出具的体检报告，后续每年体检一次；所有人员无外露纹身、无传染性疾病、无精神类疾病及其他不适宜从事秩序维护工作的隐患性疾病；</w:t>
      </w:r>
      <w:r>
        <w:rPr>
          <w:rFonts w:hint="eastAsia" w:ascii="仿宋" w:hAnsi="仿宋" w:eastAsia="仿宋" w:cs="仿宋"/>
          <w:b w:val="0"/>
          <w:bCs w:val="0"/>
          <w:sz w:val="32"/>
          <w:szCs w:val="32"/>
        </w:rPr>
        <w:t>男性身高≥1.</w:t>
      </w:r>
      <w:r>
        <w:rPr>
          <w:rFonts w:hint="eastAsia" w:ascii="仿宋" w:hAnsi="仿宋" w:eastAsia="仿宋" w:cs="仿宋"/>
          <w:b w:val="0"/>
          <w:bCs w:val="0"/>
          <w:sz w:val="32"/>
          <w:szCs w:val="32"/>
          <w:lang w:val="en-US" w:eastAsia="zh-CN"/>
        </w:rPr>
        <w:t>65</w:t>
      </w:r>
      <w:r>
        <w:rPr>
          <w:rFonts w:hint="eastAsia" w:ascii="仿宋" w:hAnsi="仿宋" w:eastAsia="仿宋" w:cs="仿宋"/>
          <w:b w:val="0"/>
          <w:bCs w:val="0"/>
          <w:sz w:val="32"/>
          <w:szCs w:val="32"/>
          <w:lang w:eastAsia="zh-CN"/>
        </w:rPr>
        <w:t>米</w:t>
      </w:r>
      <w:r>
        <w:rPr>
          <w:rFonts w:hint="eastAsia" w:ascii="仿宋" w:hAnsi="仿宋" w:eastAsia="仿宋" w:cs="仿宋"/>
          <w:b w:val="0"/>
          <w:bCs w:val="0"/>
          <w:sz w:val="32"/>
          <w:szCs w:val="32"/>
        </w:rPr>
        <w:t>，女性身高≥1.</w:t>
      </w:r>
      <w:r>
        <w:rPr>
          <w:rFonts w:hint="eastAsia" w:ascii="仿宋" w:hAnsi="仿宋" w:eastAsia="仿宋" w:cs="仿宋"/>
          <w:b w:val="0"/>
          <w:bCs w:val="0"/>
          <w:sz w:val="32"/>
          <w:szCs w:val="32"/>
          <w:lang w:val="en-US" w:eastAsia="zh-CN"/>
        </w:rPr>
        <w:t>55米，体能良好，能适应倒班</w:t>
      </w:r>
      <w:r>
        <w:rPr>
          <w:rFonts w:hint="eastAsia" w:ascii="仿宋" w:hAnsi="仿宋" w:eastAsia="仿宋" w:cs="仿宋"/>
          <w:b w:val="0"/>
          <w:bCs w:val="0"/>
          <w:sz w:val="32"/>
          <w:szCs w:val="32"/>
          <w:lang w:eastAsia="zh-CN"/>
        </w:rPr>
        <w:t>。</w:t>
      </w:r>
    </w:p>
    <w:p w14:paraId="2F9399F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专业技能：</w:t>
      </w:r>
      <w:r>
        <w:rPr>
          <w:rFonts w:hint="eastAsia" w:ascii="仿宋" w:hAnsi="仿宋" w:eastAsia="仿宋" w:cs="仿宋"/>
          <w:b w:val="0"/>
          <w:bCs w:val="0"/>
          <w:sz w:val="32"/>
          <w:szCs w:val="32"/>
          <w:lang w:eastAsia="zh-CN"/>
        </w:rPr>
        <w:t>具备</w:t>
      </w:r>
      <w:r>
        <w:rPr>
          <w:rFonts w:hint="eastAsia" w:ascii="仿宋" w:hAnsi="仿宋" w:eastAsia="仿宋" w:cs="仿宋"/>
          <w:b w:val="0"/>
          <w:bCs w:val="0"/>
          <w:sz w:val="32"/>
          <w:szCs w:val="32"/>
          <w:lang w:val="en-US" w:eastAsia="zh-CN"/>
        </w:rPr>
        <w:t>一定</w:t>
      </w:r>
      <w:r>
        <w:rPr>
          <w:rFonts w:hint="eastAsia" w:ascii="仿宋" w:hAnsi="仿宋" w:eastAsia="仿宋" w:cs="仿宋"/>
          <w:b w:val="0"/>
          <w:bCs w:val="0"/>
          <w:sz w:val="32"/>
          <w:szCs w:val="32"/>
          <w:lang w:eastAsia="zh-CN"/>
        </w:rPr>
        <w:t>的安全防范知识、应急处置技能、消防知识，熟练使用灭火器、消防栓等消防设备，掌握火灾初期扑救、冲突调解等基础应急处置能力，具备基本的沟通协调能力，能妥善处理业主及客户诉求。</w:t>
      </w:r>
    </w:p>
    <w:p w14:paraId="606D040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职业道德：恪尽职守、护安维序，具备良好的服务意识和团队协作精神，严格遵守岗位职责和各项规章制度。</w:t>
      </w:r>
    </w:p>
    <w:p w14:paraId="22312EB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（二）人员形象要求</w:t>
      </w:r>
    </w:p>
    <w:p w14:paraId="26E0C04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秩序</w:t>
      </w:r>
      <w:r>
        <w:rPr>
          <w:rFonts w:hint="eastAsia" w:ascii="仿宋" w:hAnsi="仿宋" w:eastAsia="仿宋" w:cs="仿宋"/>
          <w:b w:val="0"/>
          <w:bCs w:val="0"/>
          <w:sz w:val="32"/>
          <w:szCs w:val="32"/>
        </w:rPr>
        <w:t>人员</w:t>
      </w:r>
      <w:r>
        <w:rPr>
          <w:rFonts w:hint="eastAsia" w:ascii="仿宋" w:hAnsi="仿宋" w:eastAsia="仿宋" w:cs="仿宋"/>
          <w:b w:val="0"/>
          <w:bCs w:val="0"/>
          <w:color w:val="auto"/>
          <w:sz w:val="32"/>
          <w:szCs w:val="32"/>
          <w:highlight w:val="none"/>
        </w:rPr>
        <w:t>需统一</w:t>
      </w:r>
      <w:r>
        <w:rPr>
          <w:rFonts w:hint="eastAsia" w:ascii="仿宋" w:hAnsi="仿宋" w:eastAsia="仿宋" w:cs="仿宋"/>
          <w:b w:val="0"/>
          <w:bCs w:val="0"/>
          <w:color w:val="auto"/>
          <w:sz w:val="32"/>
          <w:szCs w:val="32"/>
          <w:highlight w:val="none"/>
          <w:lang w:eastAsia="zh-CN"/>
        </w:rPr>
        <w:t>穿着</w:t>
      </w:r>
      <w:r>
        <w:rPr>
          <w:rFonts w:hint="eastAsia" w:ascii="仿宋" w:hAnsi="仿宋" w:eastAsia="仿宋" w:cs="仿宋"/>
          <w:b w:val="0"/>
          <w:bCs w:val="0"/>
          <w:color w:val="auto"/>
          <w:sz w:val="32"/>
          <w:szCs w:val="32"/>
          <w:highlight w:val="none"/>
          <w:lang w:val="en-US" w:eastAsia="zh-CN"/>
        </w:rPr>
        <w:t>物业公司指定</w:t>
      </w:r>
      <w:r>
        <w:rPr>
          <w:rFonts w:hint="eastAsia" w:ascii="仿宋" w:hAnsi="仿宋" w:eastAsia="仿宋" w:cs="仿宋"/>
          <w:b w:val="0"/>
          <w:bCs w:val="0"/>
          <w:color w:val="auto"/>
          <w:sz w:val="32"/>
          <w:szCs w:val="32"/>
          <w:highlight w:val="none"/>
          <w:lang w:eastAsia="zh-CN"/>
        </w:rPr>
        <w:t>制式工作服（</w:t>
      </w:r>
      <w:r>
        <w:rPr>
          <w:rFonts w:hint="eastAsia" w:ascii="仿宋" w:hAnsi="仿宋" w:eastAsia="仿宋" w:cs="仿宋"/>
          <w:b w:val="0"/>
          <w:bCs w:val="0"/>
          <w:color w:val="auto"/>
          <w:sz w:val="32"/>
          <w:szCs w:val="32"/>
          <w:highlight w:val="none"/>
        </w:rPr>
        <w:t>含春秋装、夏装、冬装</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rPr>
        <w:t>，服装整洁</w:t>
      </w:r>
      <w:r>
        <w:rPr>
          <w:rFonts w:hint="eastAsia" w:ascii="仿宋" w:hAnsi="仿宋" w:eastAsia="仿宋" w:cs="仿宋"/>
          <w:b w:val="0"/>
          <w:bCs w:val="0"/>
          <w:color w:val="auto"/>
          <w:sz w:val="32"/>
          <w:szCs w:val="32"/>
          <w:highlight w:val="none"/>
          <w:lang w:eastAsia="zh-CN"/>
        </w:rPr>
        <w:t>、无破损、无污渍，</w:t>
      </w:r>
      <w:r>
        <w:rPr>
          <w:rFonts w:hint="eastAsia" w:ascii="仿宋" w:hAnsi="仿宋" w:eastAsia="仿宋" w:cs="仿宋"/>
          <w:b w:val="0"/>
          <w:bCs w:val="0"/>
          <w:color w:val="auto"/>
          <w:sz w:val="32"/>
          <w:szCs w:val="32"/>
          <w:highlight w:val="none"/>
        </w:rPr>
        <w:t>佩戴</w:t>
      </w:r>
      <w:r>
        <w:rPr>
          <w:rFonts w:hint="eastAsia" w:ascii="仿宋" w:hAnsi="仿宋" w:eastAsia="仿宋" w:cs="仿宋"/>
          <w:b w:val="0"/>
          <w:bCs w:val="0"/>
          <w:color w:val="auto"/>
          <w:sz w:val="32"/>
          <w:szCs w:val="32"/>
          <w:highlight w:val="none"/>
          <w:lang w:eastAsia="zh-CN"/>
        </w:rPr>
        <w:t>全国统一</w:t>
      </w:r>
      <w:r>
        <w:rPr>
          <w:rFonts w:hint="eastAsia" w:ascii="仿宋" w:hAnsi="仿宋" w:eastAsia="仿宋" w:cs="仿宋"/>
          <w:b w:val="0"/>
          <w:bCs w:val="0"/>
          <w:color w:val="auto"/>
          <w:sz w:val="32"/>
          <w:szCs w:val="32"/>
          <w:highlight w:val="none"/>
        </w:rPr>
        <w:t>的</w:t>
      </w:r>
      <w:r>
        <w:rPr>
          <w:rFonts w:hint="eastAsia" w:ascii="仿宋" w:hAnsi="仿宋" w:eastAsia="仿宋" w:cs="仿宋"/>
          <w:b w:val="0"/>
          <w:bCs w:val="0"/>
          <w:color w:val="auto"/>
          <w:sz w:val="32"/>
          <w:szCs w:val="32"/>
          <w:highlight w:val="none"/>
          <w:lang w:eastAsia="zh-CN"/>
        </w:rPr>
        <w:t>服饰标志</w:t>
      </w:r>
      <w:r>
        <w:rPr>
          <w:rFonts w:hint="eastAsia" w:ascii="仿宋" w:hAnsi="仿宋" w:eastAsia="仿宋" w:cs="仿宋"/>
          <w:b w:val="0"/>
          <w:bCs w:val="0"/>
          <w:color w:val="auto"/>
          <w:sz w:val="32"/>
          <w:szCs w:val="32"/>
          <w:highlight w:val="none"/>
        </w:rPr>
        <w:t>（肩章</w:t>
      </w:r>
      <w:r>
        <w:rPr>
          <w:rFonts w:hint="eastAsia" w:ascii="仿宋" w:hAnsi="仿宋" w:eastAsia="仿宋" w:cs="仿宋"/>
          <w:b w:val="0"/>
          <w:bCs w:val="0"/>
          <w:color w:val="auto"/>
          <w:sz w:val="32"/>
          <w:szCs w:val="32"/>
          <w:highlight w:val="none"/>
          <w:lang w:eastAsia="zh-CN"/>
        </w:rPr>
        <w:t>、臂章、胸徽等</w:t>
      </w:r>
      <w:r>
        <w:rPr>
          <w:rFonts w:hint="eastAsia" w:ascii="仿宋" w:hAnsi="仿宋" w:eastAsia="仿宋" w:cs="仿宋"/>
          <w:b w:val="0"/>
          <w:bCs w:val="0"/>
          <w:color w:val="auto"/>
          <w:sz w:val="32"/>
          <w:szCs w:val="32"/>
          <w:highlight w:val="none"/>
        </w:rPr>
        <w:t>），着装规范率</w:t>
      </w:r>
      <w:r>
        <w:rPr>
          <w:rFonts w:hint="eastAsia" w:ascii="仿宋" w:hAnsi="仿宋" w:eastAsia="仿宋" w:cs="仿宋"/>
          <w:b w:val="0"/>
          <w:bCs w:val="0"/>
          <w:color w:val="auto"/>
          <w:sz w:val="32"/>
          <w:szCs w:val="32"/>
          <w:highlight w:val="none"/>
          <w:lang w:eastAsia="zh-CN"/>
        </w:rPr>
        <w:t>达</w:t>
      </w:r>
      <w:r>
        <w:rPr>
          <w:rFonts w:hint="eastAsia" w:ascii="仿宋" w:hAnsi="仿宋" w:eastAsia="仿宋" w:cs="仿宋"/>
          <w:b w:val="0"/>
          <w:bCs w:val="0"/>
          <w:color w:val="auto"/>
          <w:sz w:val="32"/>
          <w:szCs w:val="32"/>
          <w:highlight w:val="none"/>
        </w:rPr>
        <w:t>100%，不得擅自更改服装款式或佩戴非规定标志。</w:t>
      </w:r>
    </w:p>
    <w:p w14:paraId="65DFC4A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仪容仪表整洁规范，男士头发整齐，不留长发、胡须、染发；女士头发梳理整齐，不佩戴夸张饰品；言谈举止文明礼貌，使用规范的服务用语，对待客户和业主热情耐心，不与业主发生争执或冲突，做到主动服务、微笑服务。</w:t>
      </w:r>
    </w:p>
    <w:p w14:paraId="724D93E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（三）工作纪律要求</w:t>
      </w:r>
    </w:p>
    <w:p w14:paraId="2566A51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派驻的秩序人员需严格遵守物业公司各项规章制度，服从项目经理及秩序</w:t>
      </w:r>
      <w:r>
        <w:rPr>
          <w:rFonts w:hint="eastAsia" w:ascii="仿宋" w:hAnsi="仿宋" w:eastAsia="仿宋" w:cs="仿宋"/>
          <w:b w:val="0"/>
          <w:bCs w:val="0"/>
          <w:sz w:val="32"/>
          <w:szCs w:val="32"/>
          <w:lang w:val="en-US" w:eastAsia="zh-CN"/>
        </w:rPr>
        <w:t>主管</w:t>
      </w:r>
      <w:r>
        <w:rPr>
          <w:rFonts w:hint="eastAsia" w:ascii="仿宋" w:hAnsi="仿宋" w:eastAsia="仿宋" w:cs="仿宋"/>
          <w:b w:val="0"/>
          <w:bCs w:val="0"/>
          <w:sz w:val="32"/>
          <w:szCs w:val="32"/>
          <w:lang w:eastAsia="zh-CN"/>
        </w:rPr>
        <w:t>调度，不擅自离岗、串岗、脱岗；工作时间不从事玩手机、聊天、睡觉等与工作无关的事情；严格遵守保密制度，不泄露物业项目的安全信息、业主个人信息等敏感信息。</w:t>
      </w:r>
    </w:p>
    <w:p w14:paraId="74450D3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eastAsia="zh-CN"/>
        </w:rPr>
        <w:t>工作时间：</w:t>
      </w:r>
      <w:r>
        <w:rPr>
          <w:rFonts w:hint="eastAsia" w:ascii="仿宋" w:hAnsi="仿宋" w:eastAsia="仿宋" w:cs="仿宋"/>
          <w:b w:val="0"/>
          <w:bCs w:val="0"/>
          <w:sz w:val="32"/>
          <w:szCs w:val="32"/>
          <w:u w:val="none"/>
          <w:lang w:val="en-US" w:eastAsia="zh-CN"/>
        </w:rPr>
        <w:t>严格按照物业公司的要求安排工作时间，保证工作质量和效率，严格遵守考勤制度，不迟到、不早退，严禁在岗期间在外兼职或从事与工作无关的事项。</w:t>
      </w:r>
    </w:p>
    <w:p w14:paraId="05D57F3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四）假期保障要求</w:t>
      </w:r>
    </w:p>
    <w:p w14:paraId="74D3C63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服务公司应严格遵守国家及地方关于劳动者休息休假的相关法律法规，保障秩序人员的正常假期权益，合理安排秩序人员的工作和休息时间。由秩序主管提前制定排班休假计划，休假计划需提交项目经理并报公司备案，确保休假期间岗位值守不受影响，严禁擅自休假。</w:t>
      </w:r>
    </w:p>
    <w:p w14:paraId="1B40470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lang w:val="en-US"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五）人身保险要求</w:t>
      </w:r>
    </w:p>
    <w:p w14:paraId="4C3FD3A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eastAsia="zh-CN"/>
        </w:rPr>
      </w:pPr>
      <w:r>
        <w:rPr>
          <w:rFonts w:hint="eastAsia" w:ascii="仿宋" w:hAnsi="仿宋" w:eastAsia="仿宋" w:cs="仿宋"/>
          <w:b w:val="0"/>
          <w:bCs w:val="0"/>
          <w:sz w:val="32"/>
          <w:szCs w:val="32"/>
          <w:u w:val="none"/>
          <w:lang w:eastAsia="zh-CN"/>
        </w:rPr>
        <w:t>秩序服务公司需为所有</w:t>
      </w:r>
      <w:r>
        <w:rPr>
          <w:rFonts w:hint="eastAsia" w:ascii="仿宋" w:hAnsi="仿宋" w:eastAsia="仿宋" w:cs="仿宋"/>
          <w:b w:val="0"/>
          <w:bCs w:val="0"/>
          <w:sz w:val="32"/>
          <w:szCs w:val="32"/>
          <w:u w:val="none"/>
          <w:lang w:val="en-US" w:eastAsia="zh-CN"/>
        </w:rPr>
        <w:t>编入项目代管序列的</w:t>
      </w:r>
      <w:r>
        <w:rPr>
          <w:rFonts w:hint="eastAsia" w:ascii="仿宋" w:hAnsi="仿宋" w:eastAsia="仿宋" w:cs="仿宋"/>
          <w:b w:val="0"/>
          <w:bCs w:val="0"/>
          <w:sz w:val="32"/>
          <w:szCs w:val="32"/>
          <w:u w:val="none"/>
          <w:lang w:eastAsia="zh-CN"/>
        </w:rPr>
        <w:t>秩序人员购买必要</w:t>
      </w:r>
      <w:r>
        <w:rPr>
          <w:rFonts w:hint="eastAsia" w:ascii="仿宋" w:hAnsi="仿宋" w:eastAsia="仿宋" w:cs="仿宋"/>
          <w:b w:val="0"/>
          <w:bCs w:val="0"/>
          <w:sz w:val="32"/>
          <w:szCs w:val="32"/>
          <w:u w:val="none"/>
          <w:lang w:val="en-US" w:eastAsia="zh-CN"/>
        </w:rPr>
        <w:t>的保险。若因秩序服务公司原因未按规定投保，由此引发的全部责任、损失及相关风险，均由服务公司自行承担</w:t>
      </w:r>
      <w:r>
        <w:rPr>
          <w:rFonts w:hint="eastAsia" w:ascii="仿宋" w:hAnsi="仿宋" w:eastAsia="仿宋" w:cs="仿宋"/>
          <w:b w:val="0"/>
          <w:bCs w:val="0"/>
          <w:sz w:val="32"/>
          <w:szCs w:val="32"/>
          <w:u w:val="none"/>
          <w:lang w:eastAsia="zh-CN"/>
        </w:rPr>
        <w:t>。</w:t>
      </w:r>
    </w:p>
    <w:p w14:paraId="783DCF5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六</w:t>
      </w:r>
      <w:r>
        <w:rPr>
          <w:rFonts w:hint="eastAsia" w:ascii="楷体" w:hAnsi="楷体" w:eastAsia="楷体" w:cs="楷体"/>
          <w:b/>
          <w:bCs/>
          <w:sz w:val="32"/>
          <w:szCs w:val="32"/>
          <w:lang w:eastAsia="zh-CN"/>
        </w:rPr>
        <w:t>）装备配置要求</w:t>
      </w:r>
    </w:p>
    <w:p w14:paraId="2B0BF8E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秩序服务公司需根据服务工作实际需求，为每个项目派驻人员配齐必要</w:t>
      </w:r>
      <w:r>
        <w:rPr>
          <w:rFonts w:hint="eastAsia" w:ascii="仿宋" w:hAnsi="仿宋" w:eastAsia="仿宋" w:cs="仿宋"/>
          <w:b w:val="0"/>
          <w:bCs w:val="0"/>
          <w:sz w:val="32"/>
          <w:szCs w:val="32"/>
          <w:lang w:val="en-US" w:eastAsia="zh-CN"/>
        </w:rPr>
        <w:t>的</w:t>
      </w:r>
      <w:r>
        <w:rPr>
          <w:rFonts w:hint="eastAsia" w:ascii="仿宋" w:hAnsi="仿宋" w:eastAsia="仿宋" w:cs="仿宋"/>
          <w:b w:val="0"/>
          <w:bCs w:val="0"/>
          <w:sz w:val="32"/>
          <w:szCs w:val="32"/>
          <w:lang w:eastAsia="zh-CN"/>
        </w:rPr>
        <w:t>安保装备，包括手持对讲机、</w:t>
      </w:r>
      <w:r>
        <w:rPr>
          <w:rFonts w:hint="eastAsia" w:ascii="仿宋" w:hAnsi="仿宋" w:eastAsia="仿宋" w:cs="仿宋"/>
          <w:b w:val="0"/>
          <w:bCs w:val="0"/>
          <w:sz w:val="32"/>
          <w:szCs w:val="32"/>
          <w:lang w:val="en-US" w:eastAsia="zh-CN"/>
        </w:rPr>
        <w:t>巡逻肩闪及强光手电</w:t>
      </w:r>
      <w:r>
        <w:rPr>
          <w:rFonts w:hint="eastAsia" w:ascii="仿宋" w:hAnsi="仿宋" w:eastAsia="仿宋" w:cs="仿宋"/>
          <w:b w:val="0"/>
          <w:bCs w:val="0"/>
          <w:sz w:val="32"/>
          <w:szCs w:val="32"/>
          <w:lang w:eastAsia="zh-CN"/>
        </w:rPr>
        <w:t>等，所有安保装备需符合国家安全标准、性能可靠。另根据秩序服务工作实际需求，按项目配齐警棍、防暴盾牌、防刺背心、抓捕器和钢叉</w:t>
      </w:r>
      <w:r>
        <w:rPr>
          <w:rFonts w:hint="eastAsia" w:ascii="仿宋" w:hAnsi="仿宋" w:eastAsia="仿宋" w:cs="仿宋"/>
          <w:b w:val="0"/>
          <w:bCs w:val="0"/>
          <w:sz w:val="32"/>
          <w:szCs w:val="32"/>
          <w:lang w:val="en-US" w:eastAsia="zh-CN"/>
        </w:rPr>
        <w:t>2~3套</w:t>
      </w:r>
      <w:r>
        <w:rPr>
          <w:rFonts w:hint="eastAsia" w:ascii="仿宋" w:hAnsi="仿宋" w:eastAsia="仿宋" w:cs="仿宋"/>
          <w:b w:val="0"/>
          <w:bCs w:val="0"/>
          <w:sz w:val="32"/>
          <w:szCs w:val="32"/>
          <w:lang w:eastAsia="zh-CN"/>
        </w:rPr>
        <w:t>；所有安保装备需符合国家安全标准、性能可靠。</w:t>
      </w:r>
    </w:p>
    <w:p w14:paraId="42A3936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highlight w:val="none"/>
          <w:lang w:eastAsia="zh-CN"/>
        </w:rPr>
        <w:t>对讲机需通信畅通、信号稳定、通话清晰；</w:t>
      </w:r>
      <w:r>
        <w:rPr>
          <w:rFonts w:hint="eastAsia" w:ascii="仿宋" w:hAnsi="仿宋" w:eastAsia="仿宋" w:cs="仿宋"/>
          <w:b w:val="0"/>
          <w:bCs w:val="0"/>
          <w:sz w:val="32"/>
          <w:szCs w:val="32"/>
          <w:highlight w:val="none"/>
          <w:lang w:val="en-US" w:eastAsia="zh-CN"/>
        </w:rPr>
        <w:t>巡逻肩闪需夜间醒目可见；强光手电光照范围大、待机时间长</w:t>
      </w:r>
      <w:r>
        <w:rPr>
          <w:rFonts w:hint="eastAsia" w:ascii="仿宋" w:hAnsi="仿宋" w:eastAsia="仿宋" w:cs="仿宋"/>
          <w:b w:val="0"/>
          <w:bCs w:val="0"/>
          <w:sz w:val="32"/>
          <w:szCs w:val="32"/>
          <w:highlight w:val="none"/>
          <w:lang w:eastAsia="zh-CN"/>
        </w:rPr>
        <w:t>。</w:t>
      </w:r>
      <w:r>
        <w:rPr>
          <w:rFonts w:hint="eastAsia" w:ascii="仿宋" w:hAnsi="仿宋" w:eastAsia="仿宋" w:cs="仿宋"/>
          <w:b w:val="0"/>
          <w:bCs w:val="0"/>
          <w:sz w:val="32"/>
          <w:szCs w:val="32"/>
          <w:lang w:eastAsia="zh-CN"/>
        </w:rPr>
        <w:t>秩序</w:t>
      </w:r>
      <w:r>
        <w:rPr>
          <w:rFonts w:hint="eastAsia" w:ascii="仿宋" w:hAnsi="仿宋" w:eastAsia="仿宋" w:cs="仿宋"/>
          <w:b w:val="0"/>
          <w:bCs w:val="0"/>
          <w:sz w:val="32"/>
          <w:szCs w:val="32"/>
          <w:lang w:val="en-US" w:eastAsia="zh-CN"/>
        </w:rPr>
        <w:t>主管</w:t>
      </w:r>
      <w:r>
        <w:rPr>
          <w:rFonts w:hint="eastAsia" w:ascii="仿宋" w:hAnsi="仿宋" w:eastAsia="仿宋" w:cs="仿宋"/>
          <w:b w:val="0"/>
          <w:bCs w:val="0"/>
          <w:sz w:val="32"/>
          <w:szCs w:val="32"/>
          <w:lang w:eastAsia="zh-CN"/>
        </w:rPr>
        <w:t>需每周对安保装备进行</w:t>
      </w:r>
      <w:r>
        <w:rPr>
          <w:rFonts w:hint="eastAsia" w:ascii="仿宋" w:hAnsi="仿宋" w:eastAsia="仿宋" w:cs="仿宋"/>
          <w:b w:val="0"/>
          <w:bCs w:val="0"/>
          <w:sz w:val="32"/>
          <w:szCs w:val="32"/>
          <w:lang w:val="en-US" w:eastAsia="zh-CN"/>
        </w:rPr>
        <w:t>1次检查、维护和保养，做好装备管理台账</w:t>
      </w:r>
      <w:r>
        <w:rPr>
          <w:rFonts w:hint="eastAsia" w:ascii="仿宋" w:hAnsi="仿宋" w:eastAsia="仿宋" w:cs="仿宋"/>
          <w:b w:val="0"/>
          <w:bCs w:val="0"/>
          <w:sz w:val="32"/>
          <w:szCs w:val="32"/>
          <w:lang w:eastAsia="zh-CN"/>
        </w:rPr>
        <w:t>，确保装备处于良好使用状态，装备损坏或报废的，需及时</w:t>
      </w:r>
      <w:r>
        <w:rPr>
          <w:rFonts w:hint="eastAsia" w:ascii="仿宋" w:hAnsi="仿宋" w:eastAsia="仿宋" w:cs="仿宋"/>
          <w:b w:val="0"/>
          <w:bCs w:val="0"/>
          <w:sz w:val="32"/>
          <w:szCs w:val="32"/>
          <w:lang w:val="en-US" w:eastAsia="zh-CN"/>
        </w:rPr>
        <w:t>对接秩序服务公司进行</w:t>
      </w:r>
      <w:r>
        <w:rPr>
          <w:rFonts w:hint="eastAsia" w:ascii="仿宋" w:hAnsi="仿宋" w:eastAsia="仿宋" w:cs="仿宋"/>
          <w:b w:val="0"/>
          <w:bCs w:val="0"/>
          <w:sz w:val="32"/>
          <w:szCs w:val="32"/>
          <w:lang w:eastAsia="zh-CN"/>
        </w:rPr>
        <w:t>更换补充。</w:t>
      </w:r>
    </w:p>
    <w:p w14:paraId="2FE0E5C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仿宋" w:hAnsi="仿宋" w:eastAsia="仿宋" w:cs="仿宋"/>
          <w:sz w:val="32"/>
          <w:szCs w:val="32"/>
          <w:lang w:eastAsia="zh-CN"/>
        </w:rPr>
      </w:pPr>
      <w:r>
        <w:rPr>
          <w:rFonts w:hint="eastAsia" w:ascii="黑体" w:hAnsi="黑体" w:eastAsia="黑体" w:cs="黑体"/>
          <w:b/>
          <w:bCs/>
          <w:sz w:val="32"/>
          <w:szCs w:val="32"/>
          <w:lang w:val="en-US" w:eastAsia="zh-CN"/>
        </w:rPr>
        <w:t>七、综合费用及结算方式</w:t>
      </w:r>
      <w:r>
        <w:rPr>
          <w:rFonts w:hint="eastAsia" w:ascii="仿宋" w:hAnsi="仿宋" w:eastAsia="仿宋" w:cs="仿宋"/>
          <w:sz w:val="32"/>
          <w:szCs w:val="32"/>
          <w:lang w:val="en-US" w:eastAsia="zh-CN"/>
        </w:rPr>
        <w:t>​</w:t>
      </w:r>
    </w:p>
    <w:p w14:paraId="7665B6A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（一）综合费用构成</w:t>
      </w:r>
    </w:p>
    <w:p w14:paraId="7884ACB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bCs/>
          <w:sz w:val="32"/>
          <w:szCs w:val="32"/>
          <w:u w:val="none"/>
          <w:lang w:val="en-US" w:eastAsia="zh-CN"/>
        </w:rPr>
      </w:pPr>
      <w:r>
        <w:rPr>
          <w:rFonts w:hint="eastAsia" w:ascii="仿宋" w:hAnsi="仿宋" w:eastAsia="仿宋" w:cs="仿宋"/>
          <w:b w:val="0"/>
          <w:bCs w:val="0"/>
          <w:sz w:val="32"/>
          <w:szCs w:val="32"/>
          <w:u w:val="none"/>
          <w:lang w:eastAsia="zh-CN"/>
        </w:rPr>
        <w:t>综合费用实行全额包干制，</w:t>
      </w:r>
      <w:r>
        <w:rPr>
          <w:rFonts w:hint="eastAsia" w:ascii="仿宋" w:hAnsi="仿宋" w:eastAsia="仿宋" w:cs="仿宋"/>
          <w:b w:val="0"/>
          <w:bCs w:val="0"/>
          <w:sz w:val="32"/>
          <w:szCs w:val="32"/>
          <w:u w:val="none"/>
          <w:lang w:val="en-US" w:eastAsia="zh-CN"/>
        </w:rPr>
        <w:t>包括但不限于</w:t>
      </w:r>
      <w:r>
        <w:rPr>
          <w:rFonts w:hint="eastAsia" w:ascii="仿宋" w:hAnsi="仿宋" w:eastAsia="仿宋" w:cs="仿宋"/>
          <w:b w:val="0"/>
          <w:bCs w:val="0"/>
          <w:sz w:val="32"/>
          <w:szCs w:val="32"/>
          <w:u w:val="none"/>
          <w:lang w:eastAsia="zh-CN"/>
        </w:rPr>
        <w:t>秩序人员薪酬（含基本工资、岗位工资、津贴补贴、延时劳动报酬等）、绩效工资、社会保险费用（含养老保险、医疗保险、失业保险、工伤保险、生育保险），以及</w:t>
      </w:r>
      <w:r>
        <w:rPr>
          <w:rFonts w:hint="eastAsia" w:ascii="仿宋" w:hAnsi="仿宋" w:eastAsia="仿宋" w:cs="仿宋"/>
          <w:b w:val="0"/>
          <w:bCs w:val="0"/>
          <w:sz w:val="32"/>
          <w:szCs w:val="32"/>
          <w:u w:val="none"/>
          <w:lang w:val="en-US" w:eastAsia="zh-CN"/>
        </w:rPr>
        <w:t>经济补偿金、装备器材及维护费</w:t>
      </w:r>
      <w:r>
        <w:rPr>
          <w:rFonts w:hint="eastAsia" w:ascii="仿宋" w:hAnsi="仿宋" w:eastAsia="仿宋" w:cs="仿宋"/>
          <w:b w:val="0"/>
          <w:bCs w:val="0"/>
          <w:sz w:val="32"/>
          <w:szCs w:val="32"/>
          <w:u w:val="none"/>
          <w:lang w:eastAsia="zh-CN"/>
        </w:rPr>
        <w:t>、培训费、管理费、税金等</w:t>
      </w:r>
      <w:r>
        <w:rPr>
          <w:rFonts w:hint="eastAsia" w:ascii="仿宋" w:hAnsi="仿宋" w:eastAsia="仿宋" w:cs="仿宋"/>
          <w:b w:val="0"/>
          <w:bCs w:val="0"/>
          <w:sz w:val="32"/>
          <w:szCs w:val="32"/>
          <w:u w:val="none"/>
          <w:lang w:val="en-US" w:eastAsia="zh-CN"/>
        </w:rPr>
        <w:t>所有相关支出</w:t>
      </w:r>
      <w:r>
        <w:rPr>
          <w:rFonts w:hint="eastAsia" w:ascii="仿宋" w:hAnsi="仿宋" w:eastAsia="仿宋" w:cs="仿宋"/>
          <w:b w:val="0"/>
          <w:bCs w:val="0"/>
          <w:sz w:val="32"/>
          <w:szCs w:val="32"/>
          <w:u w:val="none"/>
          <w:lang w:eastAsia="zh-CN"/>
        </w:rPr>
        <w:t>。</w:t>
      </w:r>
      <w:r>
        <w:rPr>
          <w:rFonts w:hint="eastAsia" w:ascii="仿宋" w:hAnsi="仿宋" w:eastAsia="仿宋" w:cs="仿宋"/>
          <w:b w:val="0"/>
          <w:bCs w:val="0"/>
          <w:sz w:val="32"/>
          <w:szCs w:val="32"/>
          <w:u w:val="none"/>
          <w:lang w:val="en-US" w:eastAsia="zh-CN"/>
        </w:rPr>
        <w:t>合同期内，服务公司承担政策性费用调整风险，不得以工资标准、社会保险基数上调或物价上涨等要求追加费用。中央、省、市各级政府文件调整人员保障工资的，服务公司需遵照执行，合同期内纳入包干费用，物业公司不再另行支付其他任何费用。</w:t>
      </w:r>
    </w:p>
    <w:p w14:paraId="77032BC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（二）相关费用标准</w:t>
      </w:r>
    </w:p>
    <w:p w14:paraId="2944E14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lang w:eastAsia="zh-CN"/>
        </w:rPr>
        <w:t>物业公司设定招标上限价格</w:t>
      </w:r>
      <w:r>
        <w:rPr>
          <w:rFonts w:hint="eastAsia" w:ascii="仿宋" w:hAnsi="仿宋" w:eastAsia="仿宋" w:cs="仿宋"/>
          <w:b w:val="0"/>
          <w:bCs w:val="0"/>
          <w:sz w:val="32"/>
          <w:szCs w:val="32"/>
          <w:lang w:val="en-US" w:eastAsia="zh-CN"/>
        </w:rPr>
        <w:t>公开招采，按总费用包干形式以非不可竞争费用部分下浮百分比报价，中标方式采用经评审的最低价中标法</w:t>
      </w:r>
      <w:r>
        <w:rPr>
          <w:rFonts w:hint="eastAsia" w:ascii="仿宋" w:hAnsi="仿宋" w:eastAsia="仿宋" w:cs="仿宋"/>
          <w:b w:val="0"/>
          <w:bCs w:val="0"/>
          <w:sz w:val="32"/>
          <w:szCs w:val="32"/>
          <w:u w:val="none"/>
          <w:lang w:val="en-US" w:eastAsia="zh-CN"/>
        </w:rPr>
        <w:t>，最终综合费用按中标价格分</w:t>
      </w:r>
      <w:r>
        <w:rPr>
          <w:rFonts w:hint="eastAsia" w:ascii="仿宋" w:hAnsi="仿宋" w:eastAsia="仿宋" w:cs="仿宋"/>
          <w:b w:val="0"/>
          <w:bCs w:val="0"/>
          <w:sz w:val="32"/>
          <w:szCs w:val="32"/>
          <w:u w:val="none"/>
          <w:lang w:eastAsia="zh-CN"/>
        </w:rPr>
        <w:t>劳务服务费、限定岗位工资、绩效工资、违纪扣款四部分核发，</w:t>
      </w:r>
      <w:r>
        <w:rPr>
          <w:rFonts w:hint="eastAsia" w:ascii="仿宋" w:hAnsi="仿宋" w:eastAsia="仿宋" w:cs="仿宋"/>
          <w:b w:val="0"/>
          <w:bCs w:val="0"/>
          <w:sz w:val="32"/>
          <w:szCs w:val="32"/>
          <w:u w:val="none"/>
          <w:lang w:val="en-US" w:eastAsia="zh-CN"/>
        </w:rPr>
        <w:t>具体操作方式如下：</w:t>
      </w:r>
    </w:p>
    <w:p w14:paraId="12D0187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sz w:val="32"/>
          <w:szCs w:val="32"/>
          <w:u w:val="none"/>
          <w:lang w:val="en-US" w:eastAsia="zh-CN"/>
        </w:rPr>
      </w:pPr>
      <w:r>
        <w:rPr>
          <w:rFonts w:hint="eastAsia" w:ascii="仿宋" w:hAnsi="仿宋" w:eastAsia="仿宋" w:cs="仿宋"/>
          <w:b/>
          <w:bCs/>
          <w:sz w:val="32"/>
          <w:szCs w:val="32"/>
          <w:u w:val="none"/>
          <w:lang w:val="en-US" w:eastAsia="zh-CN"/>
        </w:rPr>
        <w:t>1.劳务服务费</w:t>
      </w:r>
    </w:p>
    <w:p w14:paraId="0129A59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highlight w:val="none"/>
          <w:u w:val="none"/>
          <w:lang w:val="en-US" w:eastAsia="zh-CN"/>
        </w:rPr>
        <w:t>项目包干劳务服务费=∑［劳务服务费招标上限价格×（1-中标下浮率）×对应项目秩序供给商项目月度服务考核等级系数*项目秩序团队人员总人数］</w:t>
      </w:r>
      <w:r>
        <w:rPr>
          <w:rFonts w:hint="eastAsia" w:ascii="仿宋" w:hAnsi="仿宋" w:eastAsia="仿宋" w:cs="仿宋"/>
          <w:b w:val="0"/>
          <w:bCs w:val="0"/>
          <w:sz w:val="32"/>
          <w:szCs w:val="32"/>
          <w:u w:val="none"/>
          <w:lang w:val="en-US" w:eastAsia="zh-CN"/>
        </w:rPr>
        <w:t>；</w:t>
      </w:r>
    </w:p>
    <w:p w14:paraId="376E715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sz w:val="32"/>
          <w:szCs w:val="32"/>
          <w:u w:val="none"/>
          <w:lang w:val="en-US" w:eastAsia="zh-CN"/>
        </w:rPr>
      </w:pPr>
      <w:r>
        <w:rPr>
          <w:rFonts w:hint="eastAsia" w:ascii="仿宋" w:hAnsi="仿宋" w:eastAsia="仿宋" w:cs="仿宋"/>
          <w:b/>
          <w:bCs/>
          <w:sz w:val="32"/>
          <w:szCs w:val="32"/>
          <w:u w:val="none"/>
          <w:lang w:val="en-US" w:eastAsia="zh-CN"/>
        </w:rPr>
        <w:t>2.岗位工资</w:t>
      </w:r>
    </w:p>
    <w:p w14:paraId="7B6EE72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项目劳务工资=∑［（秩序人员限定岗位工资*项目各类秩序人员对应人数］；</w:t>
      </w:r>
    </w:p>
    <w:p w14:paraId="2FE7597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sz w:val="32"/>
          <w:szCs w:val="32"/>
          <w:u w:val="none"/>
          <w:lang w:val="en-US" w:eastAsia="zh-CN"/>
        </w:rPr>
      </w:pPr>
      <w:r>
        <w:rPr>
          <w:rFonts w:hint="eastAsia" w:ascii="仿宋" w:hAnsi="仿宋" w:eastAsia="仿宋" w:cs="仿宋"/>
          <w:b/>
          <w:bCs/>
          <w:sz w:val="32"/>
          <w:szCs w:val="32"/>
          <w:u w:val="none"/>
          <w:lang w:val="en-US" w:eastAsia="zh-CN"/>
        </w:rPr>
        <w:t>3.绩效工资</w:t>
      </w:r>
    </w:p>
    <w:p w14:paraId="6221759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项目绩效工资=∑［项目秩序人员个人服务绩效考核等级对应绩效工资*各等级对应人数］；</w:t>
      </w:r>
    </w:p>
    <w:p w14:paraId="735FB8F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4.违纪扣款</w:t>
      </w:r>
    </w:p>
    <w:p w14:paraId="51A2E10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派驻项目秩序人员纳入对应项目代管序列，由项目经理和秩序主管对其行为进行监督，对违反工作纪律、不服从合理调度指挥等行为，按相关标准在违纪行为产生个人限定岗位工资中扣除。</w:t>
      </w:r>
    </w:p>
    <w:p w14:paraId="0D41B75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违纪扣款=∑</w:t>
      </w:r>
      <w:r>
        <w:rPr>
          <w:rFonts w:hint="eastAsia" w:ascii="仿宋" w:hAnsi="仿宋" w:eastAsia="仿宋" w:cs="仿宋"/>
          <w:b w:val="0"/>
          <w:bCs w:val="0"/>
          <w:sz w:val="32"/>
          <w:szCs w:val="32"/>
          <w:u w:val="none"/>
          <w:lang w:val="en-US" w:eastAsia="zh-CN"/>
        </w:rPr>
        <w:t>（项目秩序人员违纪扣款总额）</w:t>
      </w:r>
    </w:p>
    <w:p w14:paraId="5504148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5.综合总费用</w:t>
      </w:r>
    </w:p>
    <w:p w14:paraId="079EDDD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综合总费用=∑项目包干劳务服务费+∑项目劳务工资-</w:t>
      </w:r>
      <w:r>
        <w:rPr>
          <w:rFonts w:hint="eastAsia" w:ascii="仿宋" w:hAnsi="仿宋" w:eastAsia="仿宋" w:cs="仿宋"/>
          <w:b w:val="0"/>
          <w:bCs w:val="0"/>
          <w:sz w:val="32"/>
          <w:szCs w:val="32"/>
          <w:lang w:val="en-US" w:eastAsia="zh-CN"/>
        </w:rPr>
        <w:t>∑违纪扣款</w:t>
      </w:r>
      <w:r>
        <w:rPr>
          <w:rFonts w:hint="eastAsia" w:ascii="仿宋" w:hAnsi="仿宋" w:eastAsia="仿宋" w:cs="仿宋"/>
          <w:b w:val="0"/>
          <w:bCs w:val="0"/>
          <w:sz w:val="32"/>
          <w:szCs w:val="32"/>
          <w:u w:val="none"/>
          <w:lang w:val="en-US" w:eastAsia="zh-CN"/>
        </w:rPr>
        <w:t>+∑项目绩效工资。</w:t>
      </w:r>
    </w:p>
    <w:p w14:paraId="6A00C293">
      <w:pPr>
        <w:keepNext w:val="0"/>
        <w:keepLines w:val="0"/>
        <w:pageBreakBefore w:val="0"/>
        <w:widowControl w:val="0"/>
        <w:kinsoku/>
        <w:wordWrap/>
        <w:overflowPunct/>
        <w:topLinePunct w:val="0"/>
        <w:autoSpaceDE/>
        <w:autoSpaceDN/>
        <w:bidi w:val="0"/>
        <w:spacing w:line="560" w:lineRule="exact"/>
        <w:ind w:firstLine="643" w:firstLineChars="200"/>
        <w:textAlignment w:val="auto"/>
        <w:rPr>
          <w:rFonts w:hint="default"/>
          <w:b/>
          <w:bCs/>
          <w:lang w:val="en-US" w:eastAsia="zh-CN"/>
        </w:rPr>
      </w:pPr>
      <w:r>
        <w:rPr>
          <w:rFonts w:hint="eastAsia" w:ascii="仿宋" w:hAnsi="仿宋" w:eastAsia="仿宋" w:cs="仿宋"/>
          <w:b/>
          <w:bCs/>
          <w:sz w:val="32"/>
          <w:szCs w:val="32"/>
          <w:u w:val="none"/>
          <w:lang w:val="en-US" w:eastAsia="zh-CN"/>
        </w:rPr>
        <w:t>6.薪酬下限标准</w:t>
      </w:r>
    </w:p>
    <w:p w14:paraId="10D6351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为综合保证秩序人员薪酬合法权益和项目服务质量，对各类秩序人员薪酬下限作如下规定：</w:t>
      </w:r>
    </w:p>
    <w:tbl>
      <w:tblPr>
        <w:tblStyle w:val="13"/>
        <w:tblpPr w:leftFromText="180" w:rightFromText="180" w:vertAnchor="text" w:horzAnchor="page" w:tblpX="1560" w:tblpY="2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2670"/>
        <w:gridCol w:w="2370"/>
        <w:gridCol w:w="1515"/>
        <w:gridCol w:w="1414"/>
      </w:tblGrid>
      <w:tr w14:paraId="5E66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05EBEB5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序号</w:t>
            </w:r>
          </w:p>
        </w:tc>
        <w:tc>
          <w:tcPr>
            <w:tcW w:w="2670" w:type="dxa"/>
            <w:vAlign w:val="center"/>
          </w:tcPr>
          <w:p w14:paraId="77DED37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人员类别</w:t>
            </w:r>
          </w:p>
        </w:tc>
        <w:tc>
          <w:tcPr>
            <w:tcW w:w="2370" w:type="dxa"/>
            <w:vAlign w:val="center"/>
          </w:tcPr>
          <w:p w14:paraId="528FF7C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限定岗位工资下限</w:t>
            </w:r>
          </w:p>
        </w:tc>
        <w:tc>
          <w:tcPr>
            <w:tcW w:w="1515" w:type="dxa"/>
            <w:vAlign w:val="center"/>
          </w:tcPr>
          <w:p w14:paraId="0433F18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绩效工资</w:t>
            </w:r>
          </w:p>
        </w:tc>
        <w:tc>
          <w:tcPr>
            <w:tcW w:w="1414" w:type="dxa"/>
            <w:vAlign w:val="center"/>
          </w:tcPr>
          <w:p w14:paraId="0718C81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小计</w:t>
            </w:r>
          </w:p>
        </w:tc>
      </w:tr>
      <w:tr w14:paraId="668B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6818719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670" w:type="dxa"/>
            <w:shd w:val="clear" w:color="auto" w:fill="auto"/>
            <w:vAlign w:val="center"/>
          </w:tcPr>
          <w:p w14:paraId="0B0B538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持证消防设施秩序人员</w:t>
            </w:r>
          </w:p>
        </w:tc>
        <w:tc>
          <w:tcPr>
            <w:tcW w:w="2370" w:type="dxa"/>
            <w:shd w:val="clear" w:color="auto" w:fill="auto"/>
            <w:vAlign w:val="center"/>
          </w:tcPr>
          <w:p w14:paraId="78E334B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2500</w:t>
            </w:r>
          </w:p>
        </w:tc>
        <w:tc>
          <w:tcPr>
            <w:tcW w:w="1515" w:type="dxa"/>
            <w:shd w:val="clear" w:color="auto" w:fill="auto"/>
            <w:vAlign w:val="center"/>
          </w:tcPr>
          <w:p w14:paraId="491BEC3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300</w:t>
            </w:r>
          </w:p>
        </w:tc>
        <w:tc>
          <w:tcPr>
            <w:tcW w:w="1414" w:type="dxa"/>
            <w:shd w:val="clear" w:color="auto" w:fill="auto"/>
            <w:vAlign w:val="center"/>
          </w:tcPr>
          <w:p w14:paraId="0365D99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2800</w:t>
            </w:r>
          </w:p>
        </w:tc>
      </w:tr>
      <w:tr w14:paraId="06F3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28F78D9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670" w:type="dxa"/>
            <w:shd w:val="clear" w:color="auto" w:fill="auto"/>
            <w:vAlign w:val="center"/>
          </w:tcPr>
          <w:p w14:paraId="1226CC8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普通秩序人员</w:t>
            </w:r>
          </w:p>
        </w:tc>
        <w:tc>
          <w:tcPr>
            <w:tcW w:w="2370" w:type="dxa"/>
            <w:shd w:val="clear" w:color="auto" w:fill="auto"/>
            <w:vAlign w:val="center"/>
          </w:tcPr>
          <w:p w14:paraId="481A6F9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2300</w:t>
            </w:r>
          </w:p>
        </w:tc>
        <w:tc>
          <w:tcPr>
            <w:tcW w:w="1515" w:type="dxa"/>
            <w:shd w:val="clear" w:color="auto" w:fill="auto"/>
            <w:vAlign w:val="center"/>
          </w:tcPr>
          <w:p w14:paraId="115A7F8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300</w:t>
            </w:r>
          </w:p>
        </w:tc>
        <w:tc>
          <w:tcPr>
            <w:tcW w:w="1414" w:type="dxa"/>
            <w:shd w:val="clear" w:color="auto" w:fill="auto"/>
            <w:vAlign w:val="center"/>
          </w:tcPr>
          <w:p w14:paraId="554DA01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leftChars="0"/>
              <w:jc w:val="center"/>
              <w:textAlignment w:val="auto"/>
              <w:rPr>
                <w:rFonts w:hint="default"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2600</w:t>
            </w:r>
          </w:p>
        </w:tc>
      </w:tr>
    </w:tbl>
    <w:p w14:paraId="012DACD6">
      <w:pPr>
        <w:rPr>
          <w:rFonts w:hint="eastAsia" w:ascii="仿宋" w:hAnsi="仿宋" w:eastAsia="仿宋" w:cs="仿宋"/>
          <w:b w:val="0"/>
          <w:bCs w:val="0"/>
          <w:sz w:val="32"/>
          <w:szCs w:val="32"/>
          <w:lang w:val="en-US" w:eastAsia="zh-CN"/>
        </w:rPr>
      </w:pPr>
    </w:p>
    <w:p w14:paraId="3CD7C82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各项目岗位需求、招标上限价格及其他特殊待遇岗位秩序</w:t>
      </w:r>
      <w:r>
        <w:rPr>
          <w:rFonts w:hint="eastAsia" w:ascii="仿宋" w:hAnsi="仿宋" w:eastAsia="仿宋" w:cs="仿宋"/>
          <w:b w:val="0"/>
          <w:bCs w:val="0"/>
          <w:color w:val="auto"/>
          <w:sz w:val="32"/>
          <w:szCs w:val="32"/>
          <w:lang w:val="en-US" w:eastAsia="zh-CN"/>
        </w:rPr>
        <w:t>人员详见《永州市城发物业管理有限公司项目秩序岗位需求明细表》。</w:t>
      </w:r>
    </w:p>
    <w:p w14:paraId="171F204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（三）履约保证金</w:t>
      </w:r>
    </w:p>
    <w:p w14:paraId="33CB476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highlight w:val="none"/>
          <w:u w:val="none"/>
          <w:lang w:val="en-US" w:eastAsia="zh-CN"/>
        </w:rPr>
      </w:pPr>
      <w:r>
        <w:rPr>
          <w:rFonts w:hint="eastAsia" w:ascii="仿宋" w:hAnsi="仿宋" w:eastAsia="仿宋" w:cs="仿宋"/>
          <w:b w:val="0"/>
          <w:bCs w:val="0"/>
          <w:sz w:val="32"/>
          <w:szCs w:val="32"/>
          <w:highlight w:val="none"/>
          <w:u w:val="none"/>
          <w:lang w:val="en-US" w:eastAsia="zh-CN"/>
        </w:rPr>
        <w:t>秩序服务公司选定后，需缴纳</w:t>
      </w:r>
      <w:r>
        <w:rPr>
          <w:rFonts w:hint="eastAsia" w:ascii="仿宋" w:hAnsi="仿宋" w:eastAsia="仿宋" w:cs="仿宋"/>
          <w:b w:val="0"/>
          <w:bCs w:val="0"/>
          <w:sz w:val="32"/>
          <w:szCs w:val="32"/>
          <w:highlight w:val="none"/>
          <w:u w:val="single"/>
          <w:lang w:val="en-US" w:eastAsia="zh-CN"/>
        </w:rPr>
        <w:t xml:space="preserve">  壹  </w:t>
      </w:r>
      <w:r>
        <w:rPr>
          <w:rFonts w:hint="eastAsia" w:ascii="仿宋" w:hAnsi="仿宋" w:eastAsia="仿宋" w:cs="仿宋"/>
          <w:b w:val="0"/>
          <w:bCs w:val="0"/>
          <w:sz w:val="32"/>
          <w:szCs w:val="32"/>
          <w:highlight w:val="none"/>
          <w:u w:val="none"/>
          <w:lang w:val="en-US" w:eastAsia="zh-CN"/>
        </w:rPr>
        <w:t>万元履约保证金，履约保证金用于所有编入项目代管序列的秩序人员甲供费用（主要为服装、标识等）部分履约保证金，合同期内，如有人为损坏、丢失，从履约保证金中按实际采购价格扣除。合同期满或合同解除后，扣除违约费用后剩余部分无息退还。</w:t>
      </w:r>
    </w:p>
    <w:p w14:paraId="79B55DF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（四）结算方式</w:t>
      </w:r>
    </w:p>
    <w:p w14:paraId="31D04BE3">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每月由项目经理和物业公司品质部对派驻的秩序团队开展综合考核，根据考核结果确定当月综合费用，次月20日前拨付上月费用。</w:t>
      </w:r>
    </w:p>
    <w:p w14:paraId="5A13456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秩序服务供给公司收到款项后，需在5个工作日内按双方约定标准向秩序人员足额支付上月薪酬，并向物业公司提交工资发放明细记录备案，接受物业公司核查。若服务公司未按约定足额支付秩序人员薪酬，物业公司有权暂停支付劳务费用，并要求其限期整改，由此造成的一切损失由供给公司自行承担。</w:t>
      </w:r>
    </w:p>
    <w:p w14:paraId="156073F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八、考核机制</w:t>
      </w:r>
    </w:p>
    <w:p w14:paraId="4DC88B1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（一）</w:t>
      </w:r>
      <w:r>
        <w:rPr>
          <w:rFonts w:hint="eastAsia" w:ascii="楷体" w:hAnsi="楷体" w:eastAsia="楷体" w:cs="楷体"/>
          <w:b/>
          <w:bCs/>
          <w:sz w:val="32"/>
          <w:szCs w:val="32"/>
        </w:rPr>
        <w:t>考核周期</w:t>
      </w:r>
    </w:p>
    <w:p w14:paraId="16774A3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实行月度综合考核制，每月底由项目经理</w:t>
      </w:r>
      <w:r>
        <w:rPr>
          <w:rFonts w:hint="eastAsia" w:ascii="仿宋" w:hAnsi="仿宋" w:eastAsia="仿宋" w:cs="仿宋"/>
          <w:b w:val="0"/>
          <w:bCs w:val="0"/>
          <w:sz w:val="32"/>
          <w:szCs w:val="32"/>
          <w:lang w:val="en-US" w:eastAsia="zh-CN"/>
        </w:rPr>
        <w:t>牵头</w:t>
      </w:r>
      <w:r>
        <w:rPr>
          <w:rFonts w:hint="eastAsia" w:ascii="仿宋" w:hAnsi="仿宋" w:eastAsia="仿宋" w:cs="仿宋"/>
          <w:b w:val="0"/>
          <w:bCs w:val="0"/>
          <w:sz w:val="32"/>
          <w:szCs w:val="32"/>
          <w:lang w:eastAsia="zh-CN"/>
        </w:rPr>
        <w:t>对所派驻的秩序团队</w:t>
      </w:r>
      <w:r>
        <w:rPr>
          <w:rFonts w:hint="eastAsia" w:ascii="仿宋" w:hAnsi="仿宋" w:eastAsia="仿宋" w:cs="仿宋"/>
          <w:b w:val="0"/>
          <w:bCs w:val="0"/>
          <w:sz w:val="32"/>
          <w:szCs w:val="32"/>
          <w:lang w:val="en-US" w:eastAsia="zh-CN"/>
        </w:rPr>
        <w:t>开展</w:t>
      </w:r>
      <w:r>
        <w:rPr>
          <w:rFonts w:hint="eastAsia" w:ascii="仿宋" w:hAnsi="仿宋" w:eastAsia="仿宋" w:cs="仿宋"/>
          <w:b w:val="0"/>
          <w:bCs w:val="0"/>
          <w:sz w:val="32"/>
          <w:szCs w:val="32"/>
          <w:lang w:eastAsia="zh-CN"/>
        </w:rPr>
        <w:t>综合考核</w:t>
      </w:r>
      <w:r>
        <w:rPr>
          <w:rFonts w:hint="eastAsia" w:ascii="仿宋" w:hAnsi="仿宋" w:eastAsia="仿宋" w:cs="仿宋"/>
          <w:b w:val="0"/>
          <w:bCs w:val="0"/>
          <w:sz w:val="32"/>
          <w:szCs w:val="32"/>
          <w:lang w:val="en-US" w:eastAsia="zh-CN"/>
        </w:rPr>
        <w:t>，物业公司品质部不定期进行抽查</w:t>
      </w:r>
      <w:r>
        <w:rPr>
          <w:rFonts w:hint="eastAsia" w:ascii="仿宋" w:hAnsi="仿宋" w:eastAsia="仿宋" w:cs="仿宋"/>
          <w:b w:val="0"/>
          <w:bCs w:val="0"/>
          <w:sz w:val="32"/>
          <w:szCs w:val="32"/>
          <w:lang w:eastAsia="zh-CN"/>
        </w:rPr>
        <w:t>。</w:t>
      </w:r>
    </w:p>
    <w:p w14:paraId="4FD60F0A">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考核采用综合评分制，项目经理评分权重40%、物业公司品质部评分权重60%，评分严格依据考核内容指标，</w:t>
      </w:r>
      <w:r>
        <w:rPr>
          <w:rFonts w:hint="eastAsia" w:ascii="仿宋" w:hAnsi="仿宋" w:eastAsia="仿宋" w:cs="仿宋"/>
          <w:b w:val="0"/>
          <w:bCs w:val="0"/>
          <w:sz w:val="32"/>
          <w:szCs w:val="32"/>
          <w:lang w:eastAsia="zh-CN"/>
        </w:rPr>
        <w:t>考核结果于次月</w:t>
      </w:r>
      <w:r>
        <w:rPr>
          <w:rFonts w:hint="eastAsia" w:ascii="仿宋" w:hAnsi="仿宋" w:eastAsia="仿宋" w:cs="仿宋"/>
          <w:b w:val="0"/>
          <w:bCs w:val="0"/>
          <w:sz w:val="32"/>
          <w:szCs w:val="32"/>
          <w:lang w:val="en-US" w:eastAsia="zh-CN"/>
        </w:rPr>
        <w:t>5日前完成汇总、复核并公示</w:t>
      </w:r>
      <w:r>
        <w:rPr>
          <w:rFonts w:hint="eastAsia" w:ascii="仿宋" w:hAnsi="仿宋" w:eastAsia="仿宋" w:cs="仿宋"/>
          <w:b w:val="0"/>
          <w:bCs w:val="0"/>
          <w:sz w:val="32"/>
          <w:szCs w:val="32"/>
          <w:lang w:eastAsia="zh-CN"/>
        </w:rPr>
        <w:t>。</w:t>
      </w:r>
    </w:p>
    <w:p w14:paraId="1C545AE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（二）考核内容</w:t>
      </w:r>
    </w:p>
    <w:p w14:paraId="096D0A1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建立完善的服务质量考核体系，围绕</w:t>
      </w:r>
      <w:r>
        <w:rPr>
          <w:rFonts w:hint="eastAsia" w:ascii="仿宋" w:hAnsi="仿宋" w:eastAsia="仿宋" w:cs="仿宋"/>
          <w:b w:val="0"/>
          <w:bCs w:val="0"/>
          <w:sz w:val="32"/>
          <w:szCs w:val="32"/>
          <w:lang w:val="en-US" w:eastAsia="zh-CN"/>
        </w:rPr>
        <w:t>服务供给公司及</w:t>
      </w:r>
      <w:r>
        <w:rPr>
          <w:rFonts w:hint="eastAsia" w:ascii="仿宋" w:hAnsi="仿宋" w:eastAsia="仿宋" w:cs="仿宋"/>
          <w:b w:val="0"/>
          <w:bCs w:val="0"/>
          <w:sz w:val="32"/>
          <w:szCs w:val="32"/>
          <w:lang w:eastAsia="zh-CN"/>
        </w:rPr>
        <w:t>秩序人员</w:t>
      </w:r>
      <w:r>
        <w:rPr>
          <w:rFonts w:hint="eastAsia" w:ascii="仿宋" w:hAnsi="仿宋" w:eastAsia="仿宋" w:cs="仿宋"/>
          <w:b w:val="0"/>
          <w:bCs w:val="0"/>
          <w:sz w:val="32"/>
          <w:szCs w:val="32"/>
          <w:lang w:val="en-US" w:eastAsia="zh-CN"/>
        </w:rPr>
        <w:t>标准、人员</w:t>
      </w:r>
      <w:r>
        <w:rPr>
          <w:rFonts w:hint="eastAsia" w:ascii="仿宋" w:hAnsi="仿宋" w:eastAsia="仿宋" w:cs="仿宋"/>
          <w:b w:val="0"/>
          <w:bCs w:val="0"/>
          <w:sz w:val="32"/>
          <w:szCs w:val="32"/>
          <w:lang w:eastAsia="zh-CN"/>
        </w:rPr>
        <w:t>形象、工作纪律、服务效率、应急处置能力、业主满意度等维度，考核结果作为当月综合总费用的支付依据。</w:t>
      </w:r>
    </w:p>
    <w:p w14:paraId="5A0577B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）考核标准</w:t>
      </w:r>
    </w:p>
    <w:p w14:paraId="253ED76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1.对秩序服务供给公司考核</w:t>
      </w:r>
    </w:p>
    <w:p w14:paraId="5F0D069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月度</w:t>
      </w:r>
      <w:r>
        <w:rPr>
          <w:rFonts w:hint="eastAsia" w:ascii="仿宋" w:hAnsi="仿宋" w:eastAsia="仿宋" w:cs="仿宋"/>
          <w:b w:val="0"/>
          <w:bCs w:val="0"/>
          <w:sz w:val="32"/>
          <w:szCs w:val="32"/>
          <w:lang w:val="en-US" w:eastAsia="zh-CN"/>
        </w:rPr>
        <w:t>综合</w:t>
      </w:r>
      <w:r>
        <w:rPr>
          <w:rFonts w:hint="eastAsia" w:ascii="仿宋" w:hAnsi="仿宋" w:eastAsia="仿宋" w:cs="仿宋"/>
          <w:b w:val="0"/>
          <w:bCs w:val="0"/>
          <w:sz w:val="32"/>
          <w:szCs w:val="32"/>
          <w:lang w:eastAsia="zh-CN"/>
        </w:rPr>
        <w:t>考核满分为</w:t>
      </w:r>
      <w:r>
        <w:rPr>
          <w:rFonts w:hint="eastAsia" w:ascii="仿宋" w:hAnsi="仿宋" w:eastAsia="仿宋" w:cs="仿宋"/>
          <w:b w:val="0"/>
          <w:bCs w:val="0"/>
          <w:sz w:val="32"/>
          <w:szCs w:val="32"/>
          <w:lang w:val="en-US" w:eastAsia="zh-CN"/>
        </w:rPr>
        <w:t>100分，考核分数结果对应月度综合劳务费用支付比例如下：</w:t>
      </w:r>
    </w:p>
    <w:p w14:paraId="24D5345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rPr>
        <w:t>9</w:t>
      </w:r>
      <w:r>
        <w:rPr>
          <w:rFonts w:hint="eastAsia" w:ascii="仿宋" w:hAnsi="仿宋" w:eastAsia="仿宋" w:cs="仿宋"/>
          <w:b w:val="0"/>
          <w:bCs w:val="0"/>
          <w:sz w:val="32"/>
          <w:szCs w:val="32"/>
          <w:u w:val="none"/>
          <w:lang w:val="en-US" w:eastAsia="zh-CN"/>
        </w:rPr>
        <w:t>0</w:t>
      </w:r>
      <w:r>
        <w:rPr>
          <w:rFonts w:hint="eastAsia" w:ascii="仿宋" w:hAnsi="仿宋" w:eastAsia="仿宋" w:cs="仿宋"/>
          <w:b w:val="0"/>
          <w:bCs w:val="0"/>
          <w:sz w:val="32"/>
          <w:szCs w:val="32"/>
          <w:u w:val="none"/>
        </w:rPr>
        <w:t>分</w:t>
      </w:r>
      <w:r>
        <w:rPr>
          <w:rFonts w:hint="eastAsia" w:ascii="仿宋" w:hAnsi="仿宋" w:eastAsia="仿宋" w:cs="仿宋"/>
          <w:b w:val="0"/>
          <w:bCs w:val="0"/>
          <w:sz w:val="32"/>
          <w:szCs w:val="32"/>
          <w:u w:val="none"/>
          <w:lang w:eastAsia="zh-CN"/>
        </w:rPr>
        <w:t>及以上为优秀，支付</w:t>
      </w:r>
      <w:r>
        <w:rPr>
          <w:rFonts w:hint="eastAsia" w:ascii="仿宋" w:hAnsi="仿宋" w:eastAsia="仿宋" w:cs="仿宋"/>
          <w:b w:val="0"/>
          <w:bCs w:val="0"/>
          <w:sz w:val="32"/>
          <w:szCs w:val="32"/>
          <w:u w:val="none"/>
          <w:lang w:val="en-US" w:eastAsia="zh-CN"/>
        </w:rPr>
        <w:t>100%月度劳务费用；</w:t>
      </w:r>
    </w:p>
    <w:p w14:paraId="51011FB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89-80分（含）</w:t>
      </w:r>
      <w:r>
        <w:rPr>
          <w:rFonts w:hint="eastAsia" w:ascii="仿宋" w:hAnsi="仿宋" w:eastAsia="仿宋" w:cs="仿宋"/>
          <w:b w:val="0"/>
          <w:bCs w:val="0"/>
          <w:sz w:val="32"/>
          <w:szCs w:val="32"/>
          <w:u w:val="none"/>
        </w:rPr>
        <w:t>为</w:t>
      </w:r>
      <w:r>
        <w:rPr>
          <w:rFonts w:hint="eastAsia" w:ascii="仿宋" w:hAnsi="仿宋" w:eastAsia="仿宋" w:cs="仿宋"/>
          <w:b w:val="0"/>
          <w:bCs w:val="0"/>
          <w:sz w:val="32"/>
          <w:szCs w:val="32"/>
          <w:u w:val="none"/>
          <w:lang w:eastAsia="zh-CN"/>
        </w:rPr>
        <w:t>良好，支付</w:t>
      </w:r>
      <w:r>
        <w:rPr>
          <w:rFonts w:hint="eastAsia" w:ascii="仿宋" w:hAnsi="仿宋" w:eastAsia="仿宋" w:cs="仿宋"/>
          <w:b w:val="0"/>
          <w:bCs w:val="0"/>
          <w:sz w:val="32"/>
          <w:szCs w:val="32"/>
          <w:u w:val="none"/>
          <w:lang w:val="en-US" w:eastAsia="zh-CN"/>
        </w:rPr>
        <w:t>90%月度劳务费用；</w:t>
      </w:r>
    </w:p>
    <w:p w14:paraId="55C0FD46">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79-70分（含）为合格，支付80%月度劳务费用；</w:t>
      </w:r>
    </w:p>
    <w:p w14:paraId="21182E7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70分以下为不合格，支付70%月度劳务费用。</w:t>
      </w:r>
    </w:p>
    <w:p w14:paraId="01F2789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jc w:val="both"/>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2.对项目秩序服务人员考核</w:t>
      </w:r>
    </w:p>
    <w:p w14:paraId="2B4FE1B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eastAsia"/>
          <w:lang w:val="en-US" w:eastAsia="zh-CN"/>
        </w:rPr>
      </w:pPr>
      <w:r>
        <w:rPr>
          <w:rFonts w:hint="eastAsia" w:ascii="仿宋" w:hAnsi="仿宋" w:eastAsia="仿宋" w:cs="仿宋"/>
          <w:b w:val="0"/>
          <w:bCs w:val="0"/>
          <w:sz w:val="32"/>
          <w:szCs w:val="32"/>
          <w:lang w:val="en-US" w:eastAsia="zh-CN"/>
        </w:rPr>
        <w:t>派驻项目的秩序服务人员，绩效工资部分由项目经理按相关标准对其进行考核，即按如下方式计算其每月实发薪酬：</w:t>
      </w:r>
    </w:p>
    <w:p w14:paraId="13251591">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秩序人员实发薪酬=</w:t>
      </w:r>
      <w:r>
        <w:rPr>
          <w:rFonts w:hint="eastAsia" w:ascii="仿宋" w:hAnsi="仿宋" w:eastAsia="仿宋" w:cs="仿宋"/>
          <w:b w:val="0"/>
          <w:bCs w:val="0"/>
          <w:color w:val="auto"/>
          <w:sz w:val="32"/>
          <w:szCs w:val="32"/>
          <w:u w:val="none"/>
          <w:lang w:val="en-US" w:eastAsia="zh-CN"/>
        </w:rPr>
        <w:t>限定岗位工资下限</w:t>
      </w:r>
      <w:r>
        <w:rPr>
          <w:rFonts w:hint="eastAsia" w:ascii="仿宋" w:hAnsi="仿宋" w:eastAsia="仿宋" w:cs="仿宋"/>
          <w:b w:val="0"/>
          <w:bCs w:val="0"/>
          <w:color w:val="auto"/>
          <w:sz w:val="32"/>
          <w:szCs w:val="32"/>
          <w:lang w:val="en-US" w:eastAsia="zh-CN"/>
        </w:rPr>
        <w:t>-违规处罚+个人绩效等级工资。</w:t>
      </w:r>
    </w:p>
    <w:p w14:paraId="3E0ACD6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两类综合考核结果由物业公司书面告知服务公司，服务公司对考核结果有异议的，可在收到结果后2个工作日内提出申诉，品质部在2个工作日内完成复核并反馈结果。</w:t>
      </w:r>
    </w:p>
    <w:p w14:paraId="2537146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九、退出机制</w:t>
      </w:r>
    </w:p>
    <w:p w14:paraId="051B284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lang w:val="en-US" w:eastAsia="zh-CN"/>
        </w:rPr>
      </w:pPr>
      <w:r>
        <w:rPr>
          <w:rFonts w:hint="default" w:ascii="楷体" w:hAnsi="楷体" w:eastAsia="楷体" w:cs="楷体"/>
          <w:b/>
          <w:bCs/>
          <w:sz w:val="32"/>
          <w:szCs w:val="32"/>
          <w:lang w:val="en-US" w:eastAsia="zh-CN"/>
        </w:rPr>
        <w:t>（一）主动退出</w:t>
      </w:r>
    </w:p>
    <w:p w14:paraId="3E7EF3E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服务</w:t>
      </w:r>
      <w:r>
        <w:rPr>
          <w:rFonts w:hint="default" w:ascii="仿宋" w:hAnsi="仿宋" w:eastAsia="仿宋" w:cs="仿宋"/>
          <w:b w:val="0"/>
          <w:bCs w:val="0"/>
          <w:sz w:val="32"/>
          <w:szCs w:val="32"/>
          <w:lang w:val="en-US" w:eastAsia="zh-CN"/>
        </w:rPr>
        <w:t>公司因自身经营调整、资源调配困难等原因需终止合作的，需提前</w:t>
      </w:r>
      <w:r>
        <w:rPr>
          <w:rFonts w:hint="eastAsia" w:ascii="仿宋" w:hAnsi="仿宋" w:eastAsia="仿宋" w:cs="仿宋"/>
          <w:b w:val="0"/>
          <w:bCs w:val="0"/>
          <w:sz w:val="32"/>
          <w:szCs w:val="32"/>
          <w:lang w:val="en-US" w:eastAsia="zh-CN"/>
        </w:rPr>
        <w:t>30</w:t>
      </w:r>
      <w:r>
        <w:rPr>
          <w:rFonts w:hint="default" w:ascii="仿宋" w:hAnsi="仿宋" w:eastAsia="仿宋" w:cs="仿宋"/>
          <w:b w:val="0"/>
          <w:bCs w:val="0"/>
          <w:sz w:val="32"/>
          <w:szCs w:val="32"/>
          <w:lang w:val="en-US" w:eastAsia="zh-CN"/>
        </w:rPr>
        <w:t>个</w:t>
      </w:r>
      <w:r>
        <w:rPr>
          <w:rFonts w:hint="eastAsia" w:ascii="仿宋" w:hAnsi="仿宋" w:eastAsia="仿宋" w:cs="仿宋"/>
          <w:b w:val="0"/>
          <w:bCs w:val="0"/>
          <w:sz w:val="32"/>
          <w:szCs w:val="32"/>
          <w:lang w:val="en-US" w:eastAsia="zh-CN"/>
        </w:rPr>
        <w:t>日历</w:t>
      </w:r>
      <w:r>
        <w:rPr>
          <w:rFonts w:hint="default" w:ascii="仿宋" w:hAnsi="仿宋" w:eastAsia="仿宋" w:cs="仿宋"/>
          <w:b w:val="0"/>
          <w:bCs w:val="0"/>
          <w:sz w:val="32"/>
          <w:szCs w:val="32"/>
          <w:lang w:val="en-US" w:eastAsia="zh-CN"/>
        </w:rPr>
        <w:t>日</w:t>
      </w:r>
      <w:r>
        <w:rPr>
          <w:rFonts w:hint="eastAsia" w:ascii="仿宋" w:hAnsi="仿宋" w:eastAsia="仿宋" w:cs="仿宋"/>
          <w:b w:val="0"/>
          <w:bCs w:val="0"/>
          <w:sz w:val="32"/>
          <w:szCs w:val="32"/>
          <w:lang w:val="en-US" w:eastAsia="zh-CN"/>
        </w:rPr>
        <w:t>内</w:t>
      </w:r>
      <w:r>
        <w:rPr>
          <w:rFonts w:hint="default" w:ascii="仿宋" w:hAnsi="仿宋" w:eastAsia="仿宋" w:cs="仿宋"/>
          <w:b w:val="0"/>
          <w:bCs w:val="0"/>
          <w:sz w:val="32"/>
          <w:szCs w:val="32"/>
          <w:lang w:val="en-US" w:eastAsia="zh-CN"/>
        </w:rPr>
        <w:t>向物业公司提交书面退出申请，说明退出理由及善后安排。申请提交后，双方在</w:t>
      </w:r>
      <w:r>
        <w:rPr>
          <w:rFonts w:hint="eastAsia" w:ascii="仿宋" w:hAnsi="仿宋" w:eastAsia="仿宋" w:cs="仿宋"/>
          <w:b w:val="0"/>
          <w:bCs w:val="0"/>
          <w:sz w:val="32"/>
          <w:szCs w:val="32"/>
          <w:lang w:val="en-US" w:eastAsia="zh-CN"/>
        </w:rPr>
        <w:t>7</w:t>
      </w:r>
      <w:r>
        <w:rPr>
          <w:rFonts w:hint="default" w:ascii="仿宋" w:hAnsi="仿宋" w:eastAsia="仿宋" w:cs="仿宋"/>
          <w:b w:val="0"/>
          <w:bCs w:val="0"/>
          <w:sz w:val="32"/>
          <w:szCs w:val="32"/>
          <w:lang w:val="en-US" w:eastAsia="zh-CN"/>
        </w:rPr>
        <w:t>个工作日内</w:t>
      </w:r>
      <w:r>
        <w:rPr>
          <w:rFonts w:hint="eastAsia" w:ascii="仿宋" w:hAnsi="仿宋" w:eastAsia="仿宋" w:cs="仿宋"/>
          <w:b w:val="0"/>
          <w:bCs w:val="0"/>
          <w:sz w:val="32"/>
          <w:szCs w:val="32"/>
          <w:lang w:val="en-US" w:eastAsia="zh-CN"/>
        </w:rPr>
        <w:t>协商确定</w:t>
      </w:r>
      <w:r>
        <w:rPr>
          <w:rFonts w:hint="default" w:ascii="仿宋" w:hAnsi="仿宋" w:eastAsia="仿宋" w:cs="仿宋"/>
          <w:b w:val="0"/>
          <w:bCs w:val="0"/>
          <w:sz w:val="32"/>
          <w:szCs w:val="32"/>
          <w:lang w:val="en-US" w:eastAsia="zh-CN"/>
        </w:rPr>
        <w:t>交接方案，</w:t>
      </w:r>
      <w:r>
        <w:rPr>
          <w:rFonts w:hint="eastAsia" w:ascii="仿宋" w:hAnsi="仿宋" w:eastAsia="仿宋" w:cs="仿宋"/>
          <w:b w:val="0"/>
          <w:bCs w:val="0"/>
          <w:sz w:val="32"/>
          <w:szCs w:val="32"/>
          <w:lang w:val="en-US" w:eastAsia="zh-CN"/>
        </w:rPr>
        <w:t>服务</w:t>
      </w:r>
      <w:r>
        <w:rPr>
          <w:rFonts w:hint="default" w:ascii="仿宋" w:hAnsi="仿宋" w:eastAsia="仿宋" w:cs="仿宋"/>
          <w:b w:val="0"/>
          <w:bCs w:val="0"/>
          <w:sz w:val="32"/>
          <w:szCs w:val="32"/>
          <w:lang w:val="en-US" w:eastAsia="zh-CN"/>
        </w:rPr>
        <w:t>公司需确保过渡期内</w:t>
      </w:r>
      <w:r>
        <w:rPr>
          <w:rFonts w:hint="eastAsia" w:ascii="仿宋" w:hAnsi="仿宋" w:eastAsia="仿宋" w:cs="仿宋"/>
          <w:b w:val="0"/>
          <w:bCs w:val="0"/>
          <w:sz w:val="32"/>
          <w:szCs w:val="32"/>
          <w:lang w:val="en-US" w:eastAsia="zh-CN"/>
        </w:rPr>
        <w:t>项目秩序</w:t>
      </w:r>
      <w:r>
        <w:rPr>
          <w:rFonts w:hint="default" w:ascii="仿宋" w:hAnsi="仿宋" w:eastAsia="仿宋" w:cs="仿宋"/>
          <w:b w:val="0"/>
          <w:bCs w:val="0"/>
          <w:sz w:val="32"/>
          <w:szCs w:val="32"/>
          <w:lang w:val="en-US" w:eastAsia="zh-CN"/>
        </w:rPr>
        <w:t>服务</w:t>
      </w:r>
      <w:r>
        <w:rPr>
          <w:rFonts w:hint="eastAsia" w:ascii="仿宋" w:hAnsi="仿宋" w:eastAsia="仿宋" w:cs="仿宋"/>
          <w:b w:val="0"/>
          <w:bCs w:val="0"/>
          <w:sz w:val="32"/>
          <w:szCs w:val="32"/>
          <w:lang w:val="en-US" w:eastAsia="zh-CN"/>
        </w:rPr>
        <w:t>工作</w:t>
      </w:r>
      <w:r>
        <w:rPr>
          <w:rFonts w:hint="default" w:ascii="仿宋" w:hAnsi="仿宋" w:eastAsia="仿宋" w:cs="仿宋"/>
          <w:b w:val="0"/>
          <w:bCs w:val="0"/>
          <w:sz w:val="32"/>
          <w:szCs w:val="32"/>
          <w:lang w:val="en-US" w:eastAsia="zh-CN"/>
        </w:rPr>
        <w:t>不受影响，直至新合作方入驻或物业公司完成人员衔接。</w:t>
      </w:r>
    </w:p>
    <w:p w14:paraId="2BD6DCDC">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lang w:val="en-US" w:eastAsia="zh-CN"/>
        </w:rPr>
      </w:pPr>
      <w:r>
        <w:rPr>
          <w:rFonts w:hint="default" w:ascii="楷体" w:hAnsi="楷体" w:eastAsia="楷体" w:cs="楷体"/>
          <w:b/>
          <w:bCs/>
          <w:sz w:val="32"/>
          <w:szCs w:val="32"/>
          <w:lang w:val="en-US" w:eastAsia="zh-CN"/>
        </w:rPr>
        <w:t>（二）被动退出</w:t>
      </w:r>
    </w:p>
    <w:p w14:paraId="756B9538">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若秩序服务公司当年度内连续2个月月度综合考核等级为合格及以下的，或当年度内累计4个月月度综合考核等级为合格及以下的，物业公司有权单方面解除合作，并要求秩序服务公司承担相应违约责任。</w:t>
      </w:r>
    </w:p>
    <w:p w14:paraId="483CC49D">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若秩序服务</w:t>
      </w:r>
      <w:r>
        <w:rPr>
          <w:rFonts w:hint="default" w:ascii="仿宋" w:hAnsi="仿宋" w:eastAsia="仿宋" w:cs="仿宋"/>
          <w:b w:val="0"/>
          <w:bCs w:val="0"/>
          <w:sz w:val="32"/>
          <w:szCs w:val="32"/>
          <w:lang w:val="en-US" w:eastAsia="zh-CN"/>
        </w:rPr>
        <w:t>公司存在违法违规经营、提供虚假资质或业绩材料、未按</w:t>
      </w:r>
      <w:r>
        <w:rPr>
          <w:rFonts w:hint="eastAsia" w:ascii="仿宋" w:hAnsi="仿宋" w:eastAsia="仿宋" w:cs="仿宋"/>
          <w:b w:val="0"/>
          <w:bCs w:val="0"/>
          <w:sz w:val="32"/>
          <w:szCs w:val="32"/>
          <w:lang w:val="en-US" w:eastAsia="zh-CN"/>
        </w:rPr>
        <w:t>规定</w:t>
      </w:r>
      <w:r>
        <w:rPr>
          <w:rFonts w:hint="default" w:ascii="仿宋" w:hAnsi="仿宋" w:eastAsia="仿宋" w:cs="仿宋"/>
          <w:b w:val="0"/>
          <w:bCs w:val="0"/>
          <w:sz w:val="32"/>
          <w:szCs w:val="32"/>
          <w:lang w:val="en-US" w:eastAsia="zh-CN"/>
        </w:rPr>
        <w:t>支付</w:t>
      </w:r>
      <w:r>
        <w:rPr>
          <w:rFonts w:hint="eastAsia" w:ascii="仿宋" w:hAnsi="仿宋" w:eastAsia="仿宋" w:cs="仿宋"/>
          <w:b w:val="0"/>
          <w:bCs w:val="0"/>
          <w:sz w:val="32"/>
          <w:szCs w:val="32"/>
          <w:lang w:val="en-US" w:eastAsia="zh-CN"/>
        </w:rPr>
        <w:t>秩序</w:t>
      </w:r>
      <w:r>
        <w:rPr>
          <w:rFonts w:hint="default" w:ascii="仿宋" w:hAnsi="仿宋" w:eastAsia="仿宋" w:cs="仿宋"/>
          <w:b w:val="0"/>
          <w:bCs w:val="0"/>
          <w:sz w:val="32"/>
          <w:szCs w:val="32"/>
          <w:lang w:val="en-US" w:eastAsia="zh-CN"/>
        </w:rPr>
        <w:t>人员薪酬</w:t>
      </w:r>
      <w:r>
        <w:rPr>
          <w:rFonts w:hint="eastAsia" w:ascii="仿宋" w:hAnsi="仿宋" w:eastAsia="仿宋" w:cs="仿宋"/>
          <w:b w:val="0"/>
          <w:bCs w:val="0"/>
          <w:sz w:val="32"/>
          <w:szCs w:val="32"/>
          <w:lang w:val="en-US" w:eastAsia="zh-CN"/>
        </w:rPr>
        <w:t>或购买保险造成恶劣影响、违法分包转包</w:t>
      </w:r>
      <w:r>
        <w:rPr>
          <w:rFonts w:hint="default" w:ascii="仿宋" w:hAnsi="仿宋" w:eastAsia="仿宋" w:cs="仿宋"/>
          <w:b w:val="0"/>
          <w:bCs w:val="0"/>
          <w:sz w:val="32"/>
          <w:szCs w:val="32"/>
          <w:lang w:val="en-US" w:eastAsia="zh-CN"/>
        </w:rPr>
        <w:t>等严重违约行为</w:t>
      </w:r>
      <w:r>
        <w:rPr>
          <w:rFonts w:hint="eastAsia" w:ascii="仿宋" w:hAnsi="仿宋" w:eastAsia="仿宋" w:cs="仿宋"/>
          <w:b w:val="0"/>
          <w:bCs w:val="0"/>
          <w:sz w:val="32"/>
          <w:szCs w:val="32"/>
          <w:lang w:val="en-US" w:eastAsia="zh-CN"/>
        </w:rPr>
        <w:t>时</w:t>
      </w:r>
      <w:r>
        <w:rPr>
          <w:rFonts w:hint="default" w:ascii="仿宋" w:hAnsi="仿宋" w:eastAsia="仿宋" w:cs="仿宋"/>
          <w:b w:val="0"/>
          <w:bCs w:val="0"/>
          <w:sz w:val="32"/>
          <w:szCs w:val="32"/>
          <w:lang w:val="en-US" w:eastAsia="zh-CN"/>
        </w:rPr>
        <w:t>，物业公司</w:t>
      </w:r>
      <w:r>
        <w:rPr>
          <w:rFonts w:hint="eastAsia" w:ascii="仿宋" w:hAnsi="仿宋" w:eastAsia="仿宋" w:cs="仿宋"/>
          <w:b w:val="0"/>
          <w:bCs w:val="0"/>
          <w:sz w:val="32"/>
          <w:szCs w:val="32"/>
          <w:lang w:val="en-US" w:eastAsia="zh-CN"/>
        </w:rPr>
        <w:t>有权</w:t>
      </w:r>
      <w:r>
        <w:rPr>
          <w:rFonts w:hint="default" w:ascii="仿宋" w:hAnsi="仿宋" w:eastAsia="仿宋" w:cs="仿宋"/>
          <w:b w:val="0"/>
          <w:bCs w:val="0"/>
          <w:sz w:val="32"/>
          <w:szCs w:val="32"/>
          <w:lang w:val="en-US" w:eastAsia="zh-CN"/>
        </w:rPr>
        <w:t>立即终止合作</w:t>
      </w:r>
      <w:r>
        <w:rPr>
          <w:rFonts w:hint="eastAsia" w:ascii="仿宋" w:hAnsi="仿宋" w:eastAsia="仿宋" w:cs="仿宋"/>
          <w:b w:val="0"/>
          <w:bCs w:val="0"/>
          <w:sz w:val="32"/>
          <w:szCs w:val="32"/>
          <w:lang w:val="en-US" w:eastAsia="zh-CN"/>
        </w:rPr>
        <w:t>，并要求服务公司承担相应违约责任</w:t>
      </w:r>
      <w:r>
        <w:rPr>
          <w:rFonts w:hint="default" w:ascii="仿宋" w:hAnsi="仿宋" w:eastAsia="仿宋" w:cs="仿宋"/>
          <w:b w:val="0"/>
          <w:bCs w:val="0"/>
          <w:sz w:val="32"/>
          <w:szCs w:val="32"/>
          <w:lang w:val="en-US" w:eastAsia="zh-CN"/>
        </w:rPr>
        <w:t>。</w:t>
      </w:r>
    </w:p>
    <w:p w14:paraId="595C805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若秩序服务公司因派驻项目的秩序人员出现重大违约或重大失职行为（如服务质量不达标、发生安全事故等）</w:t>
      </w:r>
      <w:r>
        <w:rPr>
          <w:rFonts w:hint="default" w:ascii="仿宋" w:hAnsi="仿宋" w:eastAsia="仿宋" w:cs="仿宋"/>
          <w:b w:val="0"/>
          <w:bCs w:val="0"/>
          <w:sz w:val="32"/>
          <w:szCs w:val="32"/>
          <w:lang w:val="en-US" w:eastAsia="zh-CN"/>
        </w:rPr>
        <w:t>，导致业主或客户人身财产遭受重大损失、引发群体性事件或严重负面影响的，物业公司有权</w:t>
      </w:r>
      <w:r>
        <w:rPr>
          <w:rFonts w:hint="eastAsia" w:ascii="仿宋" w:hAnsi="仿宋" w:eastAsia="仿宋" w:cs="仿宋"/>
          <w:b w:val="0"/>
          <w:bCs w:val="0"/>
          <w:sz w:val="32"/>
          <w:szCs w:val="32"/>
          <w:lang w:val="en-US" w:eastAsia="zh-CN"/>
        </w:rPr>
        <w:t>立即</w:t>
      </w:r>
      <w:r>
        <w:rPr>
          <w:rFonts w:hint="default" w:ascii="仿宋" w:hAnsi="仿宋" w:eastAsia="仿宋" w:cs="仿宋"/>
          <w:b w:val="0"/>
          <w:bCs w:val="0"/>
          <w:sz w:val="32"/>
          <w:szCs w:val="32"/>
          <w:lang w:val="en-US" w:eastAsia="zh-CN"/>
        </w:rPr>
        <w:t>终止合作</w:t>
      </w:r>
      <w:r>
        <w:rPr>
          <w:rFonts w:hint="eastAsia" w:ascii="仿宋" w:hAnsi="仿宋" w:eastAsia="仿宋" w:cs="仿宋"/>
          <w:b w:val="0"/>
          <w:bCs w:val="0"/>
          <w:sz w:val="32"/>
          <w:szCs w:val="32"/>
          <w:lang w:val="en-US" w:eastAsia="zh-CN"/>
        </w:rPr>
        <w:t>，并要求服务公司承担相应违约责任</w:t>
      </w:r>
      <w:r>
        <w:rPr>
          <w:rFonts w:hint="default" w:ascii="仿宋" w:hAnsi="仿宋" w:eastAsia="仿宋" w:cs="仿宋"/>
          <w:b w:val="0"/>
          <w:bCs w:val="0"/>
          <w:sz w:val="32"/>
          <w:szCs w:val="32"/>
          <w:lang w:val="en-US" w:eastAsia="zh-CN"/>
        </w:rPr>
        <w:t>。</w:t>
      </w:r>
    </w:p>
    <w:p w14:paraId="30806F1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default" w:ascii="楷体" w:hAnsi="楷体" w:eastAsia="楷体" w:cs="楷体"/>
          <w:b/>
          <w:bCs/>
          <w:sz w:val="32"/>
          <w:szCs w:val="32"/>
          <w:lang w:val="en-US" w:eastAsia="zh-CN"/>
        </w:rPr>
      </w:pPr>
      <w:r>
        <w:rPr>
          <w:rFonts w:hint="default" w:ascii="楷体" w:hAnsi="楷体" w:eastAsia="楷体" w:cs="楷体"/>
          <w:b/>
          <w:bCs/>
          <w:sz w:val="32"/>
          <w:szCs w:val="32"/>
          <w:lang w:val="en-US" w:eastAsia="zh-CN"/>
        </w:rPr>
        <w:t>（三）退出交接要求</w:t>
      </w:r>
    </w:p>
    <w:p w14:paraId="7821D57F">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秩序服务</w:t>
      </w:r>
      <w:r>
        <w:rPr>
          <w:rFonts w:hint="default" w:ascii="仿宋" w:hAnsi="仿宋" w:eastAsia="仿宋" w:cs="仿宋"/>
          <w:b w:val="0"/>
          <w:bCs w:val="0"/>
          <w:sz w:val="32"/>
          <w:szCs w:val="32"/>
          <w:lang w:val="en-US" w:eastAsia="zh-CN"/>
        </w:rPr>
        <w:t>公司收到退出通知后，需配合物业公司完成</w:t>
      </w:r>
      <w:r>
        <w:rPr>
          <w:rFonts w:hint="eastAsia" w:ascii="仿宋" w:hAnsi="仿宋" w:eastAsia="仿宋" w:cs="仿宋"/>
          <w:b w:val="0"/>
          <w:bCs w:val="0"/>
          <w:sz w:val="32"/>
          <w:szCs w:val="32"/>
          <w:lang w:val="en-US" w:eastAsia="zh-CN"/>
        </w:rPr>
        <w:t>秩序服务</w:t>
      </w:r>
      <w:r>
        <w:rPr>
          <w:rFonts w:hint="default" w:ascii="仿宋" w:hAnsi="仿宋" w:eastAsia="仿宋" w:cs="仿宋"/>
          <w:b w:val="0"/>
          <w:bCs w:val="0"/>
          <w:sz w:val="32"/>
          <w:szCs w:val="32"/>
          <w:lang w:val="en-US" w:eastAsia="zh-CN"/>
        </w:rPr>
        <w:t>工作交接，包括移交</w:t>
      </w:r>
      <w:r>
        <w:rPr>
          <w:rFonts w:hint="eastAsia" w:ascii="仿宋" w:hAnsi="仿宋" w:eastAsia="仿宋" w:cs="仿宋"/>
          <w:b w:val="0"/>
          <w:bCs w:val="0"/>
          <w:sz w:val="32"/>
          <w:szCs w:val="32"/>
          <w:lang w:val="en-US" w:eastAsia="zh-CN"/>
        </w:rPr>
        <w:t>项目</w:t>
      </w:r>
      <w:r>
        <w:rPr>
          <w:rFonts w:hint="default" w:ascii="仿宋" w:hAnsi="仿宋" w:eastAsia="仿宋" w:cs="仿宋"/>
          <w:b w:val="0"/>
          <w:bCs w:val="0"/>
          <w:sz w:val="32"/>
          <w:szCs w:val="32"/>
          <w:lang w:val="en-US" w:eastAsia="zh-CN"/>
        </w:rPr>
        <w:t>巡逻记录、监控数据、设备台账、业主安全相关信息等资料</w:t>
      </w:r>
      <w:r>
        <w:rPr>
          <w:rFonts w:hint="eastAsia" w:ascii="仿宋" w:hAnsi="仿宋" w:eastAsia="仿宋" w:cs="仿宋"/>
          <w:b w:val="0"/>
          <w:bCs w:val="0"/>
          <w:sz w:val="32"/>
          <w:szCs w:val="32"/>
          <w:lang w:val="en-US" w:eastAsia="zh-CN"/>
        </w:rPr>
        <w:t>，</w:t>
      </w:r>
      <w:r>
        <w:rPr>
          <w:rFonts w:hint="default" w:ascii="仿宋" w:hAnsi="仿宋" w:eastAsia="仿宋" w:cs="仿宋"/>
          <w:b w:val="0"/>
          <w:bCs w:val="0"/>
          <w:sz w:val="32"/>
          <w:szCs w:val="32"/>
          <w:lang w:val="en-US" w:eastAsia="zh-CN"/>
        </w:rPr>
        <w:t>返还物业公司提供的相关物资，确保安保装备</w:t>
      </w:r>
      <w:r>
        <w:rPr>
          <w:rFonts w:hint="eastAsia" w:ascii="仿宋" w:hAnsi="仿宋" w:eastAsia="仿宋" w:cs="仿宋"/>
          <w:b w:val="0"/>
          <w:bCs w:val="0"/>
          <w:sz w:val="32"/>
          <w:szCs w:val="32"/>
          <w:lang w:val="en-US" w:eastAsia="zh-CN"/>
        </w:rPr>
        <w:t>设施</w:t>
      </w:r>
      <w:r>
        <w:rPr>
          <w:rFonts w:hint="default" w:ascii="仿宋" w:hAnsi="仿宋" w:eastAsia="仿宋" w:cs="仿宋"/>
          <w:b w:val="0"/>
          <w:bCs w:val="0"/>
          <w:sz w:val="32"/>
          <w:szCs w:val="32"/>
          <w:lang w:val="en-US" w:eastAsia="zh-CN"/>
        </w:rPr>
        <w:t>、工具等完好无损，如有损坏需按</w:t>
      </w:r>
      <w:r>
        <w:rPr>
          <w:rFonts w:hint="eastAsia" w:ascii="仿宋" w:hAnsi="仿宋" w:eastAsia="仿宋" w:cs="仿宋"/>
          <w:b w:val="0"/>
          <w:bCs w:val="0"/>
          <w:sz w:val="32"/>
          <w:szCs w:val="32"/>
          <w:lang w:val="en-US" w:eastAsia="zh-CN"/>
        </w:rPr>
        <w:t>采购价格</w:t>
      </w:r>
      <w:r>
        <w:rPr>
          <w:rFonts w:hint="default" w:ascii="仿宋" w:hAnsi="仿宋" w:eastAsia="仿宋" w:cs="仿宋"/>
          <w:b w:val="0"/>
          <w:bCs w:val="0"/>
          <w:sz w:val="32"/>
          <w:szCs w:val="32"/>
          <w:lang w:val="en-US" w:eastAsia="zh-CN"/>
        </w:rPr>
        <w:t>赔偿。</w:t>
      </w:r>
    </w:p>
    <w:p w14:paraId="5CD099A7">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秩序人员交接</w:t>
      </w:r>
      <w:r>
        <w:rPr>
          <w:rFonts w:hint="default" w:ascii="仿宋" w:hAnsi="仿宋" w:eastAsia="仿宋" w:cs="仿宋"/>
          <w:b w:val="0"/>
          <w:bCs w:val="0"/>
          <w:sz w:val="32"/>
          <w:szCs w:val="32"/>
          <w:lang w:val="en-US" w:eastAsia="zh-CN"/>
        </w:rPr>
        <w:t>过渡期内（自退出通知生效至</w:t>
      </w:r>
      <w:r>
        <w:rPr>
          <w:rFonts w:hint="eastAsia" w:ascii="仿宋" w:hAnsi="仿宋" w:eastAsia="仿宋" w:cs="仿宋"/>
          <w:b w:val="0"/>
          <w:bCs w:val="0"/>
          <w:sz w:val="32"/>
          <w:szCs w:val="32"/>
          <w:lang w:val="en-US" w:eastAsia="zh-CN"/>
        </w:rPr>
        <w:t>全部工作</w:t>
      </w:r>
      <w:r>
        <w:rPr>
          <w:rFonts w:hint="default" w:ascii="仿宋" w:hAnsi="仿宋" w:eastAsia="仿宋" w:cs="仿宋"/>
          <w:b w:val="0"/>
          <w:bCs w:val="0"/>
          <w:sz w:val="32"/>
          <w:szCs w:val="32"/>
          <w:lang w:val="en-US" w:eastAsia="zh-CN"/>
        </w:rPr>
        <w:t>交接完成），</w:t>
      </w:r>
      <w:r>
        <w:rPr>
          <w:rFonts w:hint="eastAsia" w:ascii="仿宋" w:hAnsi="仿宋" w:eastAsia="仿宋" w:cs="仿宋"/>
          <w:b w:val="0"/>
          <w:bCs w:val="0"/>
          <w:sz w:val="32"/>
          <w:szCs w:val="32"/>
          <w:lang w:val="en-US" w:eastAsia="zh-CN"/>
        </w:rPr>
        <w:t>服务</w:t>
      </w:r>
      <w:r>
        <w:rPr>
          <w:rFonts w:hint="default" w:ascii="仿宋" w:hAnsi="仿宋" w:eastAsia="仿宋" w:cs="仿宋"/>
          <w:b w:val="0"/>
          <w:bCs w:val="0"/>
          <w:sz w:val="32"/>
          <w:szCs w:val="32"/>
          <w:lang w:val="en-US" w:eastAsia="zh-CN"/>
        </w:rPr>
        <w:t>公司需维持原有</w:t>
      </w:r>
      <w:r>
        <w:rPr>
          <w:rFonts w:hint="eastAsia" w:ascii="仿宋" w:hAnsi="仿宋" w:eastAsia="仿宋" w:cs="仿宋"/>
          <w:b w:val="0"/>
          <w:bCs w:val="0"/>
          <w:sz w:val="32"/>
          <w:szCs w:val="32"/>
          <w:lang w:val="en-US" w:eastAsia="zh-CN"/>
        </w:rPr>
        <w:t>秩序服务工作</w:t>
      </w:r>
      <w:r>
        <w:rPr>
          <w:rFonts w:hint="default" w:ascii="仿宋" w:hAnsi="仿宋" w:eastAsia="仿宋" w:cs="仿宋"/>
          <w:b w:val="0"/>
          <w:bCs w:val="0"/>
          <w:sz w:val="32"/>
          <w:szCs w:val="32"/>
          <w:lang w:val="en-US" w:eastAsia="zh-CN"/>
        </w:rPr>
        <w:t>标准，不得擅自</w:t>
      </w:r>
      <w:r>
        <w:rPr>
          <w:rFonts w:hint="eastAsia" w:ascii="仿宋" w:hAnsi="仿宋" w:eastAsia="仿宋" w:cs="仿宋"/>
          <w:b w:val="0"/>
          <w:bCs w:val="0"/>
          <w:sz w:val="32"/>
          <w:szCs w:val="32"/>
          <w:lang w:val="en-US" w:eastAsia="zh-CN"/>
        </w:rPr>
        <w:t>缩减秩序</w:t>
      </w:r>
      <w:r>
        <w:rPr>
          <w:rFonts w:hint="default" w:ascii="仿宋" w:hAnsi="仿宋" w:eastAsia="仿宋" w:cs="仿宋"/>
          <w:b w:val="0"/>
          <w:bCs w:val="0"/>
          <w:sz w:val="32"/>
          <w:szCs w:val="32"/>
          <w:lang w:val="en-US" w:eastAsia="zh-CN"/>
        </w:rPr>
        <w:t>人员、降低服务质量，直至交接工作全部完成。</w:t>
      </w:r>
    </w:p>
    <w:p w14:paraId="4081A71B">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十、其他合作要求</w:t>
      </w:r>
    </w:p>
    <w:p w14:paraId="714ACBB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（一）合作期限</w:t>
      </w:r>
    </w:p>
    <w:p w14:paraId="2C41D94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秩序服务公司选定后，设置2个月试用期，试用期满经考核后，考核等级为良好及以上的，签订正式合作协议；考核等级为合格及以下的，终止合作；正式合作期限拟为1-3年，合同每年一签；原则上若服务公司上年度表现优秀，经物业公司经理办公会研商后直接续签合同后向集团报备。</w:t>
      </w:r>
    </w:p>
    <w:p w14:paraId="09B90555">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（二）人员调配</w:t>
      </w:r>
    </w:p>
    <w:p w14:paraId="793380AE">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lang w:val="en-US" w:eastAsia="zh-CN"/>
        </w:rPr>
        <w:t>秩序服务公司须服从物业公司管理要求，根据项目实际工作需要，灵活调配各项目秩序人员岗位。对于新调配秩序人员设置1个月试用期，试用期满由项目经理出具试用结论，试用期不合格的，秩序服务公司需在3个工作日内完成人员更换，</w:t>
      </w:r>
      <w:r>
        <w:rPr>
          <w:rFonts w:hint="eastAsia" w:ascii="仿宋" w:hAnsi="仿宋" w:eastAsia="仿宋" w:cs="仿宋"/>
          <w:b w:val="0"/>
          <w:bCs w:val="0"/>
          <w:sz w:val="32"/>
          <w:szCs w:val="32"/>
          <w:u w:val="none"/>
          <w:lang w:val="en-US" w:eastAsia="zh-CN"/>
        </w:rPr>
        <w:t>且被更换人员不得再入职物业公司在管其他项目。</w:t>
      </w:r>
    </w:p>
    <w:p w14:paraId="18E1BDA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u w:val="none"/>
          <w:lang w:val="en-US" w:eastAsia="zh-CN"/>
        </w:rPr>
        <w:t>对于编入项目代管序列的秩序人员，</w:t>
      </w:r>
      <w:r>
        <w:rPr>
          <w:rFonts w:hint="eastAsia" w:ascii="仿宋" w:hAnsi="仿宋" w:eastAsia="仿宋" w:cs="仿宋"/>
          <w:b w:val="0"/>
          <w:bCs w:val="0"/>
          <w:sz w:val="32"/>
          <w:szCs w:val="32"/>
          <w:lang w:val="en-US" w:eastAsia="zh-CN"/>
        </w:rPr>
        <w:t>必须服从项目经理及秩序主管的统一管理和调度，秩序服务公司在收到物业公司调配人员通知后，需在3个工作日内完成秩序人员调配工作，不得无故拖延或拒绝。</w:t>
      </w:r>
    </w:p>
    <w:p w14:paraId="2E6B1839">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（三）分包转包要求</w:t>
      </w:r>
    </w:p>
    <w:p w14:paraId="563CA1A4">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eastAsia" w:ascii="仿宋" w:hAnsi="仿宋" w:eastAsia="仿宋" w:cs="仿宋"/>
          <w:b w:val="0"/>
          <w:bCs w:val="0"/>
          <w:sz w:val="32"/>
          <w:szCs w:val="32"/>
          <w:u w:val="none"/>
          <w:lang w:val="en-US" w:eastAsia="zh-CN"/>
        </w:rPr>
      </w:pPr>
      <w:r>
        <w:rPr>
          <w:rFonts w:hint="eastAsia" w:ascii="仿宋" w:hAnsi="仿宋" w:eastAsia="仿宋" w:cs="仿宋"/>
          <w:b w:val="0"/>
          <w:bCs w:val="0"/>
          <w:sz w:val="32"/>
          <w:szCs w:val="32"/>
          <w:u w:val="none"/>
          <w:lang w:val="en-US" w:eastAsia="zh-CN"/>
        </w:rPr>
        <w:t>秩序服务公司不得将本次合作所涉及的秩序服务业务进行违法分包或转包给第三方主体，不接受联合体形式投标。</w:t>
      </w:r>
    </w:p>
    <w:p w14:paraId="7C1C63D2">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3" w:firstLineChars="200"/>
        <w:textAlignment w:val="auto"/>
        <w:rPr>
          <w:rFonts w:hint="eastAsia" w:ascii="楷体" w:hAnsi="楷体" w:eastAsia="楷体" w:cs="楷体"/>
          <w:b/>
          <w:bCs/>
          <w:color w:val="000000" w:themeColor="text1"/>
          <w:sz w:val="32"/>
          <w:szCs w:val="32"/>
          <w:u w:val="none"/>
          <w:lang w:val="en-US" w:eastAsia="zh-CN"/>
          <w14:textFill>
            <w14:solidFill>
              <w14:schemeClr w14:val="tx1"/>
            </w14:solidFill>
          </w14:textFill>
        </w:rPr>
      </w:pPr>
      <w:r>
        <w:rPr>
          <w:rFonts w:hint="eastAsia" w:ascii="楷体" w:hAnsi="楷体" w:eastAsia="楷体" w:cs="楷体"/>
          <w:b/>
          <w:bCs/>
          <w:color w:val="000000" w:themeColor="text1"/>
          <w:sz w:val="32"/>
          <w:szCs w:val="32"/>
          <w:u w:val="none"/>
          <w:lang w:val="en-US" w:eastAsia="zh-CN"/>
          <w14:textFill>
            <w14:solidFill>
              <w14:schemeClr w14:val="tx1"/>
            </w14:solidFill>
          </w14:textFill>
        </w:rPr>
        <w:t>（四）对接机制要求</w:t>
      </w:r>
    </w:p>
    <w:p w14:paraId="09C7FCE0">
      <w:pPr>
        <w:pStyle w:val="4"/>
        <w:keepNext w:val="0"/>
        <w:keepLines w:val="0"/>
        <w:pageBreakBefore w:val="0"/>
        <w:widowControl w:val="0"/>
        <w:kinsoku/>
        <w:wordWrap/>
        <w:overflowPunct/>
        <w:topLinePunct w:val="0"/>
        <w:autoSpaceDE/>
        <w:autoSpaceDN/>
        <w:bidi w:val="0"/>
        <w:adjustRightInd w:val="0"/>
        <w:snapToGrid w:val="0"/>
        <w:spacing w:before="0" w:after="0" w:line="560" w:lineRule="exact"/>
        <w:ind w:left="0" w:firstLine="640" w:firstLineChars="200"/>
        <w:jc w:val="both"/>
        <w:textAlignment w:val="auto"/>
        <w:rPr>
          <w:rFonts w:hint="default"/>
          <w:lang w:val="en-US" w:eastAsia="zh-CN"/>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服务公司中标后，需指派1名业务经理，专职对接中标项目秩序服务相关事宜，包括接收传达任务、反馈工作进度、考核组织、工具耗材更换、人员更换调配等，服务公司在接到需求指令后，规定时限内完成响应。</w:t>
      </w:r>
    </w:p>
    <w:sectPr>
      <w:footerReference r:id="rId3" w:type="default"/>
      <w:pgSz w:w="11906" w:h="16838"/>
      <w:pgMar w:top="1531" w:right="1474" w:bottom="1417" w:left="1587" w:header="708" w:footer="708"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6582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52EEF8">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52EEF8">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isplayBackgroundShape w:val="1"/>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5"/>
  </w:compat>
  <w:docVars>
    <w:docVar w:name="commondata" w:val="eyJoZGlkIjoiZDIwMmNiN2RiOTJhYmYxMTI1OTg1ZDJmNWM5YzVmNjQifQ=="/>
  </w:docVars>
  <w:rsids>
    <w:rsidRoot w:val="00000000"/>
    <w:rsid w:val="001223DB"/>
    <w:rsid w:val="003F5F2A"/>
    <w:rsid w:val="0055651A"/>
    <w:rsid w:val="0078768E"/>
    <w:rsid w:val="00C4624B"/>
    <w:rsid w:val="027831DE"/>
    <w:rsid w:val="02954528"/>
    <w:rsid w:val="02985DC6"/>
    <w:rsid w:val="02CB619B"/>
    <w:rsid w:val="03047442"/>
    <w:rsid w:val="040E7A89"/>
    <w:rsid w:val="04F75026"/>
    <w:rsid w:val="05831C51"/>
    <w:rsid w:val="060A2B37"/>
    <w:rsid w:val="06590BD4"/>
    <w:rsid w:val="06E710CA"/>
    <w:rsid w:val="070C28DE"/>
    <w:rsid w:val="072B6555"/>
    <w:rsid w:val="07CD02C0"/>
    <w:rsid w:val="08C65EB2"/>
    <w:rsid w:val="093F6F9B"/>
    <w:rsid w:val="09A6701A"/>
    <w:rsid w:val="09B31293"/>
    <w:rsid w:val="09F66532"/>
    <w:rsid w:val="0AA25A34"/>
    <w:rsid w:val="0AAA2B3A"/>
    <w:rsid w:val="0B321BCF"/>
    <w:rsid w:val="0B394E16"/>
    <w:rsid w:val="0B4F794E"/>
    <w:rsid w:val="0B574A70"/>
    <w:rsid w:val="0BCE4606"/>
    <w:rsid w:val="0D197B03"/>
    <w:rsid w:val="0D5B011C"/>
    <w:rsid w:val="0E707BF7"/>
    <w:rsid w:val="0E74069C"/>
    <w:rsid w:val="0FB32491"/>
    <w:rsid w:val="0FD40F52"/>
    <w:rsid w:val="0FFE20BD"/>
    <w:rsid w:val="103233B6"/>
    <w:rsid w:val="10C47E60"/>
    <w:rsid w:val="116364D9"/>
    <w:rsid w:val="11AD73E6"/>
    <w:rsid w:val="11F35990"/>
    <w:rsid w:val="12056664"/>
    <w:rsid w:val="121D3946"/>
    <w:rsid w:val="12555A81"/>
    <w:rsid w:val="1282603F"/>
    <w:rsid w:val="129E0CA3"/>
    <w:rsid w:val="129E2CD7"/>
    <w:rsid w:val="12BD3561"/>
    <w:rsid w:val="12ED1816"/>
    <w:rsid w:val="139D323C"/>
    <w:rsid w:val="13B16CE7"/>
    <w:rsid w:val="14812B5E"/>
    <w:rsid w:val="14B545B5"/>
    <w:rsid w:val="14E475D3"/>
    <w:rsid w:val="15364174"/>
    <w:rsid w:val="162A0C4B"/>
    <w:rsid w:val="17471E3D"/>
    <w:rsid w:val="17C904DF"/>
    <w:rsid w:val="17D67EE7"/>
    <w:rsid w:val="18567E5D"/>
    <w:rsid w:val="18DD4048"/>
    <w:rsid w:val="19E33973"/>
    <w:rsid w:val="1BAD5FE6"/>
    <w:rsid w:val="1C024584"/>
    <w:rsid w:val="1C782A98"/>
    <w:rsid w:val="1CE82576"/>
    <w:rsid w:val="1D1A109B"/>
    <w:rsid w:val="1D434E54"/>
    <w:rsid w:val="1E05210A"/>
    <w:rsid w:val="1E3D18A3"/>
    <w:rsid w:val="1F20365E"/>
    <w:rsid w:val="207B2B57"/>
    <w:rsid w:val="21812E7A"/>
    <w:rsid w:val="21B75E11"/>
    <w:rsid w:val="2274785E"/>
    <w:rsid w:val="229722EC"/>
    <w:rsid w:val="2297354C"/>
    <w:rsid w:val="2349230C"/>
    <w:rsid w:val="2466767A"/>
    <w:rsid w:val="253F6E19"/>
    <w:rsid w:val="254F010E"/>
    <w:rsid w:val="256516E0"/>
    <w:rsid w:val="25CB0630"/>
    <w:rsid w:val="25E65F0B"/>
    <w:rsid w:val="25E940BF"/>
    <w:rsid w:val="26E8081A"/>
    <w:rsid w:val="27F70E11"/>
    <w:rsid w:val="280D678A"/>
    <w:rsid w:val="280E605F"/>
    <w:rsid w:val="28125B4F"/>
    <w:rsid w:val="287C121A"/>
    <w:rsid w:val="28A67DCA"/>
    <w:rsid w:val="28AC7DD2"/>
    <w:rsid w:val="28C24E79"/>
    <w:rsid w:val="28DA4193"/>
    <w:rsid w:val="28EA087A"/>
    <w:rsid w:val="29097FD3"/>
    <w:rsid w:val="294845F1"/>
    <w:rsid w:val="29BF5862"/>
    <w:rsid w:val="2A495A74"/>
    <w:rsid w:val="2B30453E"/>
    <w:rsid w:val="2BE47891"/>
    <w:rsid w:val="2C1D0F66"/>
    <w:rsid w:val="2C3632A2"/>
    <w:rsid w:val="2CC049AD"/>
    <w:rsid w:val="2CD535EF"/>
    <w:rsid w:val="2E7D14A3"/>
    <w:rsid w:val="2ECD0A22"/>
    <w:rsid w:val="2F982B3A"/>
    <w:rsid w:val="2FF6393B"/>
    <w:rsid w:val="304A60A2"/>
    <w:rsid w:val="307E0DE8"/>
    <w:rsid w:val="30A41C3A"/>
    <w:rsid w:val="30E42FB2"/>
    <w:rsid w:val="31864EB8"/>
    <w:rsid w:val="32335040"/>
    <w:rsid w:val="32C45015"/>
    <w:rsid w:val="33184204"/>
    <w:rsid w:val="331C460E"/>
    <w:rsid w:val="334F60C2"/>
    <w:rsid w:val="33852BAF"/>
    <w:rsid w:val="33FC5905"/>
    <w:rsid w:val="340C6244"/>
    <w:rsid w:val="344F012B"/>
    <w:rsid w:val="35533EA7"/>
    <w:rsid w:val="359758E5"/>
    <w:rsid w:val="3619279E"/>
    <w:rsid w:val="36260A17"/>
    <w:rsid w:val="36305D3C"/>
    <w:rsid w:val="36C50230"/>
    <w:rsid w:val="37403D5B"/>
    <w:rsid w:val="37BC1633"/>
    <w:rsid w:val="37C4498C"/>
    <w:rsid w:val="3822776D"/>
    <w:rsid w:val="382B67B9"/>
    <w:rsid w:val="38C739B0"/>
    <w:rsid w:val="392A6A70"/>
    <w:rsid w:val="394F7ABA"/>
    <w:rsid w:val="39501BAF"/>
    <w:rsid w:val="3A3C4CAD"/>
    <w:rsid w:val="3B4F0A10"/>
    <w:rsid w:val="3BDA29D0"/>
    <w:rsid w:val="3BF84C04"/>
    <w:rsid w:val="3C373913"/>
    <w:rsid w:val="3C376091"/>
    <w:rsid w:val="3C9963E7"/>
    <w:rsid w:val="3D343881"/>
    <w:rsid w:val="3D3E0D3C"/>
    <w:rsid w:val="3D5B5D18"/>
    <w:rsid w:val="3D6E5A2C"/>
    <w:rsid w:val="3E5C66F8"/>
    <w:rsid w:val="3F06588A"/>
    <w:rsid w:val="3F115DE5"/>
    <w:rsid w:val="3F3441A5"/>
    <w:rsid w:val="3F5B30E7"/>
    <w:rsid w:val="3F6E169F"/>
    <w:rsid w:val="3F981C83"/>
    <w:rsid w:val="3FB23F6B"/>
    <w:rsid w:val="3FF87279"/>
    <w:rsid w:val="3FFF3A02"/>
    <w:rsid w:val="40274AD7"/>
    <w:rsid w:val="40300E10"/>
    <w:rsid w:val="40621142"/>
    <w:rsid w:val="40C477AB"/>
    <w:rsid w:val="412013A1"/>
    <w:rsid w:val="41384420"/>
    <w:rsid w:val="41406E31"/>
    <w:rsid w:val="4182744A"/>
    <w:rsid w:val="423050F8"/>
    <w:rsid w:val="423821FE"/>
    <w:rsid w:val="42642FF3"/>
    <w:rsid w:val="42FA74B4"/>
    <w:rsid w:val="43194AB4"/>
    <w:rsid w:val="437E1E93"/>
    <w:rsid w:val="44CC6F6F"/>
    <w:rsid w:val="45435142"/>
    <w:rsid w:val="458D1D75"/>
    <w:rsid w:val="45941E41"/>
    <w:rsid w:val="46C455CA"/>
    <w:rsid w:val="47024B89"/>
    <w:rsid w:val="47431498"/>
    <w:rsid w:val="47775577"/>
    <w:rsid w:val="48443F2F"/>
    <w:rsid w:val="48645A20"/>
    <w:rsid w:val="48E3420F"/>
    <w:rsid w:val="49DC5B65"/>
    <w:rsid w:val="4A631061"/>
    <w:rsid w:val="4BEC71C7"/>
    <w:rsid w:val="4BF21670"/>
    <w:rsid w:val="4C0B2731"/>
    <w:rsid w:val="4CDF7E46"/>
    <w:rsid w:val="4DA1334D"/>
    <w:rsid w:val="4F54599D"/>
    <w:rsid w:val="50106568"/>
    <w:rsid w:val="502F5A21"/>
    <w:rsid w:val="50C86E43"/>
    <w:rsid w:val="51DD0AD8"/>
    <w:rsid w:val="5262015E"/>
    <w:rsid w:val="52946FDD"/>
    <w:rsid w:val="52A82A88"/>
    <w:rsid w:val="52F1442F"/>
    <w:rsid w:val="52F608EB"/>
    <w:rsid w:val="53D662C7"/>
    <w:rsid w:val="547B202A"/>
    <w:rsid w:val="547D1CF3"/>
    <w:rsid w:val="54C1417C"/>
    <w:rsid w:val="55DA73FC"/>
    <w:rsid w:val="560550DD"/>
    <w:rsid w:val="579730CB"/>
    <w:rsid w:val="57F820FE"/>
    <w:rsid w:val="58705DF6"/>
    <w:rsid w:val="59131E85"/>
    <w:rsid w:val="59253085"/>
    <w:rsid w:val="5A144EA7"/>
    <w:rsid w:val="5A1A7E6E"/>
    <w:rsid w:val="5A276988"/>
    <w:rsid w:val="5A963B0E"/>
    <w:rsid w:val="5B046CCA"/>
    <w:rsid w:val="5C974299"/>
    <w:rsid w:val="5D013839"/>
    <w:rsid w:val="5DEB79E5"/>
    <w:rsid w:val="5E285908"/>
    <w:rsid w:val="5E296976"/>
    <w:rsid w:val="5E8F4A8D"/>
    <w:rsid w:val="5EEC01A1"/>
    <w:rsid w:val="60003F04"/>
    <w:rsid w:val="61493688"/>
    <w:rsid w:val="62B463B4"/>
    <w:rsid w:val="63057A83"/>
    <w:rsid w:val="6341537F"/>
    <w:rsid w:val="63CB2A7A"/>
    <w:rsid w:val="64514321"/>
    <w:rsid w:val="64C574CA"/>
    <w:rsid w:val="65FF07B9"/>
    <w:rsid w:val="660B53B0"/>
    <w:rsid w:val="66564873"/>
    <w:rsid w:val="66640794"/>
    <w:rsid w:val="667B2536"/>
    <w:rsid w:val="668533B4"/>
    <w:rsid w:val="66CF720C"/>
    <w:rsid w:val="66DD5903"/>
    <w:rsid w:val="67E3568C"/>
    <w:rsid w:val="67FA56DC"/>
    <w:rsid w:val="68993147"/>
    <w:rsid w:val="68F55EA4"/>
    <w:rsid w:val="69CE3985"/>
    <w:rsid w:val="6A917936"/>
    <w:rsid w:val="6AB73D58"/>
    <w:rsid w:val="6ADD478A"/>
    <w:rsid w:val="6BC93D43"/>
    <w:rsid w:val="6BCC0A84"/>
    <w:rsid w:val="6DB706FD"/>
    <w:rsid w:val="6EF72976"/>
    <w:rsid w:val="6F51652A"/>
    <w:rsid w:val="6FE25F7F"/>
    <w:rsid w:val="705442DC"/>
    <w:rsid w:val="7076459B"/>
    <w:rsid w:val="707D334E"/>
    <w:rsid w:val="70860455"/>
    <w:rsid w:val="7129113E"/>
    <w:rsid w:val="713752AB"/>
    <w:rsid w:val="71535E5D"/>
    <w:rsid w:val="715A543E"/>
    <w:rsid w:val="71FB222E"/>
    <w:rsid w:val="73057E05"/>
    <w:rsid w:val="73522C4F"/>
    <w:rsid w:val="735D2FC3"/>
    <w:rsid w:val="73AB79DF"/>
    <w:rsid w:val="747912EA"/>
    <w:rsid w:val="74934EEE"/>
    <w:rsid w:val="74A4534E"/>
    <w:rsid w:val="74E03A67"/>
    <w:rsid w:val="74E76FE8"/>
    <w:rsid w:val="750B0F29"/>
    <w:rsid w:val="75A1188D"/>
    <w:rsid w:val="75A90DBF"/>
    <w:rsid w:val="76200A04"/>
    <w:rsid w:val="76740D50"/>
    <w:rsid w:val="770976EA"/>
    <w:rsid w:val="772146C7"/>
    <w:rsid w:val="77861512"/>
    <w:rsid w:val="77B87B9E"/>
    <w:rsid w:val="78C31B1A"/>
    <w:rsid w:val="78D377D5"/>
    <w:rsid w:val="793F30DA"/>
    <w:rsid w:val="79624B74"/>
    <w:rsid w:val="7AB94F83"/>
    <w:rsid w:val="7AD2139B"/>
    <w:rsid w:val="7C0B5891"/>
    <w:rsid w:val="7C773348"/>
    <w:rsid w:val="7C7C2DD1"/>
    <w:rsid w:val="7CA03228"/>
    <w:rsid w:val="7CCC3693"/>
    <w:rsid w:val="7D1961AD"/>
    <w:rsid w:val="7D3F4CA6"/>
    <w:rsid w:val="7DCC76C3"/>
    <w:rsid w:val="7E17093E"/>
    <w:rsid w:val="7E88183C"/>
    <w:rsid w:val="7F4B7F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paragraph" w:styleId="2">
    <w:name w:val="heading 1"/>
    <w:next w:val="1"/>
    <w:autoRedefine/>
    <w:qFormat/>
    <w:uiPriority w:val="0"/>
    <w:pPr>
      <w:spacing w:before="380" w:after="140" w:line="288" w:lineRule="auto"/>
      <w:ind w:left="0"/>
      <w:jc w:val="left"/>
      <w:outlineLvl w:val="0"/>
    </w:pPr>
    <w:rPr>
      <w:rFonts w:ascii="Arial" w:hAnsi="Arial" w:eastAsia="等线" w:cs="Arial"/>
      <w:b/>
      <w:bCs/>
      <w:sz w:val="36"/>
      <w:szCs w:val="36"/>
    </w:rPr>
  </w:style>
  <w:style w:type="paragraph" w:styleId="3">
    <w:name w:val="heading 2"/>
    <w:next w:val="1"/>
    <w:autoRedefine/>
    <w:qFormat/>
    <w:uiPriority w:val="0"/>
    <w:pPr>
      <w:spacing w:before="320" w:after="120" w:line="288" w:lineRule="auto"/>
      <w:ind w:left="0"/>
      <w:jc w:val="left"/>
      <w:outlineLvl w:val="1"/>
    </w:pPr>
    <w:rPr>
      <w:rFonts w:ascii="Arial" w:hAnsi="Arial" w:eastAsia="等线" w:cs="Arial"/>
      <w:b/>
      <w:bCs/>
      <w:sz w:val="32"/>
      <w:szCs w:val="32"/>
    </w:rPr>
  </w:style>
  <w:style w:type="paragraph" w:styleId="4">
    <w:name w:val="heading 3"/>
    <w:next w:val="1"/>
    <w:autoRedefine/>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autoRedefine/>
    <w:qFormat/>
    <w:uiPriority w:val="0"/>
    <w:pPr>
      <w:spacing w:before="260" w:after="120" w:line="288" w:lineRule="auto"/>
      <w:ind w:left="0"/>
      <w:jc w:val="left"/>
      <w:outlineLvl w:val="3"/>
    </w:pPr>
    <w:rPr>
      <w:rFonts w:ascii="Arial" w:hAnsi="Arial" w:eastAsia="等线" w:cs="Arial"/>
      <w:b/>
      <w:bCs/>
      <w:sz w:val="28"/>
      <w:szCs w:val="28"/>
    </w:rPr>
  </w:style>
  <w:style w:type="paragraph" w:styleId="6">
    <w:name w:val="heading 5"/>
    <w:next w:val="1"/>
    <w:autoRedefine/>
    <w:qFormat/>
    <w:uiPriority w:val="0"/>
    <w:pPr>
      <w:spacing w:before="240" w:after="120" w:line="288" w:lineRule="auto"/>
      <w:ind w:left="0"/>
      <w:jc w:val="left"/>
      <w:outlineLvl w:val="4"/>
    </w:pPr>
    <w:rPr>
      <w:rFonts w:ascii="Arial" w:hAnsi="Arial" w:eastAsia="等线" w:cs="Arial"/>
      <w:b/>
      <w:bCs/>
      <w:sz w:val="24"/>
      <w:szCs w:val="24"/>
    </w:rPr>
  </w:style>
  <w:style w:type="paragraph" w:styleId="7">
    <w:name w:val="heading 6"/>
    <w:next w:val="1"/>
    <w:autoRedefine/>
    <w:qFormat/>
    <w:uiPriority w:val="0"/>
    <w:pPr>
      <w:spacing w:before="240" w:after="120" w:line="288" w:lineRule="auto"/>
      <w:ind w:left="0"/>
      <w:jc w:val="left"/>
      <w:outlineLvl w:val="5"/>
    </w:pPr>
    <w:rPr>
      <w:rFonts w:ascii="Arial" w:hAnsi="Arial" w:eastAsia="等线" w:cs="Arial"/>
      <w:b/>
      <w:bCs/>
      <w:sz w:val="24"/>
      <w:szCs w:val="24"/>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footnote text"/>
    <w:link w:val="19"/>
    <w:autoRedefine/>
    <w:semiHidden/>
    <w:unhideWhenUsed/>
    <w:qFormat/>
    <w:uiPriority w:val="99"/>
    <w:pPr>
      <w:spacing w:after="0" w:line="240" w:lineRule="auto"/>
    </w:pPr>
    <w:rPr>
      <w:rFonts w:ascii="Times New Roman" w:hAnsi="Times New Roman" w:eastAsia="宋体" w:cs="Times New Roman"/>
      <w:sz w:val="20"/>
      <w:szCs w:val="20"/>
    </w:rPr>
  </w:style>
  <w:style w:type="paragraph" w:styleId="11">
    <w:name w:val="Title"/>
    <w:autoRedefine/>
    <w:qFormat/>
    <w:uiPriority w:val="0"/>
    <w:pPr>
      <w:spacing w:before="480" w:after="480" w:line="288" w:lineRule="auto"/>
      <w:ind w:left="0"/>
    </w:pPr>
    <w:rPr>
      <w:rFonts w:ascii="Arial" w:hAnsi="Arial" w:eastAsia="等线" w:cs="Arial"/>
      <w:b/>
      <w:bCs/>
      <w:sz w:val="52"/>
      <w:szCs w:val="52"/>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autoRedefine/>
    <w:qFormat/>
    <w:uiPriority w:val="0"/>
    <w:rPr>
      <w:b/>
    </w:rPr>
  </w:style>
  <w:style w:type="character" w:styleId="16">
    <w:name w:val="Hyperlink"/>
    <w:autoRedefine/>
    <w:unhideWhenUsed/>
    <w:qFormat/>
    <w:uiPriority w:val="99"/>
    <w:rPr>
      <w:color w:val="0563C1"/>
      <w:u w:val="single"/>
    </w:rPr>
  </w:style>
  <w:style w:type="character" w:styleId="17">
    <w:name w:val="footnote reference"/>
    <w:autoRedefine/>
    <w:semiHidden/>
    <w:unhideWhenUsed/>
    <w:qFormat/>
    <w:uiPriority w:val="99"/>
    <w:rPr>
      <w:vertAlign w:val="superscript"/>
    </w:rPr>
  </w:style>
  <w:style w:type="paragraph" w:styleId="18">
    <w:name w:val="List Paragraph"/>
    <w:autoRedefine/>
    <w:qFormat/>
    <w:uiPriority w:val="0"/>
    <w:rPr>
      <w:rFonts w:ascii="Times New Roman" w:hAnsi="Times New Roman" w:eastAsia="宋体" w:cs="Times New Roman"/>
      <w:sz w:val="21"/>
      <w:szCs w:val="22"/>
    </w:rPr>
  </w:style>
  <w:style w:type="character" w:customStyle="1" w:styleId="19">
    <w:name w:val="Footnote Text Char"/>
    <w:link w:val="10"/>
    <w:autoRedefine/>
    <w:semiHidden/>
    <w:unhideWhenUsed/>
    <w:qFormat/>
    <w:uiPriority w:val="99"/>
    <w:rPr>
      <w:sz w:val="20"/>
      <w:szCs w:val="20"/>
    </w:rPr>
  </w:style>
  <w:style w:type="paragraph" w:customStyle="1" w:styleId="20">
    <w:name w:val="_Style 13"/>
    <w:autoRedefine/>
    <w:qFormat/>
    <w:uiPriority w:val="0"/>
    <w:pPr>
      <w:spacing w:before="120" w:after="120" w:line="288" w:lineRule="auto"/>
      <w:ind w:left="0"/>
      <w:jc w:val="left"/>
    </w:pPr>
    <w:rPr>
      <w:rFonts w:ascii="Arial" w:hAnsi="Arial" w:eastAsia="等线" w:cs="Arial"/>
      <w:sz w:val="22"/>
      <w:szCs w:val="22"/>
    </w:rPr>
  </w:style>
  <w:style w:type="paragraph" w:customStyle="1" w:styleId="21">
    <w:name w:val="_Style 14"/>
    <w:autoRedefine/>
    <w:qFormat/>
    <w:uiPriority w:val="0"/>
    <w:pPr>
      <w:spacing w:before="120" w:after="120" w:line="288" w:lineRule="auto"/>
      <w:ind w:left="0"/>
      <w:jc w:val="left"/>
    </w:pPr>
    <w:rPr>
      <w:rFonts w:ascii="Arial" w:hAnsi="Arial" w:eastAsia="等线" w:cs="Arial"/>
      <w:color w:val="8F959E"/>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dbe746da-e059-47d3-b802-3467ded983b6</errorID>
      <errorWord>秩序</errorWord>
      <group>L1_Word</group>
      <groupName>字词问题</groupName>
      <ability>L2_Typo</ability>
      <abilityName>字词错误</abilityName>
      <candidateList>
        <item>执勤</item>
      </candidateList>
      <explain>〈动〉执行勤务：～民警。</explain>
      <paraID>5FEB200E</paraID>
      <start>4</start>
      <end>6</end>
      <status>unmodified</status>
      <modifiedWord/>
      <trackRevisions>false</trackRevisions>
    </reviewItem>
    <reviewItem>
      <errorID>3dab5150-fc3c-4cad-b7ea-1dbbf61a0c35</errorID>
      <errorWord>秩序</errorWord>
      <group>L1_Word</group>
      <groupName>字词问题</groupName>
      <ability>L2_Typo</ability>
      <abilityName>字词错误</abilityName>
      <candidateList>
        <item>执勤</item>
      </candidateList>
      <explain>〈动〉执行勤务：～民警。</explain>
      <paraID>37FC2BEF</paraID>
      <start>4</start>
      <end>6</end>
      <status>unmodified</status>
      <modifiedWord/>
      <trackRevisions>false</trackRevisions>
    </reviewItem>
    <reviewItem>
      <errorID>6098ad10-b34b-40f8-8e5e-16a12df0e96e</errorID>
      <errorWord>；</errorWord>
      <group>L1_Word</group>
      <groupName>字词问题</groupName>
      <ability>L2_Typo</ability>
      <abilityName>字词错误</abilityName>
      <candidateList>
        <item>；在</item>
      </candidateList>
      <explain/>
      <paraID>37FC2BEF</paraID>
      <start>108</start>
      <end>109</end>
      <status>unmodified</status>
      <modifiedWord/>
      <trackRevisions>false</trackRevisions>
    </reviewItem>
    <reviewItem>
      <errorID>9999d0ea-b240-4c03-931a-b54fa3594d64</errorID>
      <errorWord>，</errorWord>
      <group>L1_Word</group>
      <groupName>字词问题</groupName>
      <ability>L2_Typo</ability>
      <abilityName>字词错误</abilityName>
      <candidateList>
        <item>，在</item>
      </candidateList>
      <explain/>
      <paraID>37FC2BEF</paraID>
      <start>139</start>
      <end>140</end>
      <status>unmodified</status>
      <modifiedWord/>
      <trackRevisions>false</trackRevisions>
    </reviewItem>
    <reviewItem>
      <errorID>cfc53076-0eb7-4b1b-9ac7-f1740fc7b58a</errorID>
      <errorWord>是</errorWord>
      <group>L1_Word</group>
      <groupName>字词问题</groupName>
      <ability>L2_Typo</ability>
      <abilityName>字词错误</abilityName>
      <candidateList>
        <item>是在</item>
      </candidateList>
      <explain/>
      <paraID> 826DEFC</paraID>
      <start>2</start>
      <end>3</end>
      <status>unmodified</status>
      <modifiedWord/>
      <trackRevisions>false</trackRevisions>
    </reviewItem>
    <reviewItem>
      <errorID>5b84ae4e-eaec-4a15-a258-8df1ac98eeb4</errorID>
      <errorWord>、</errorWord>
      <group>L1_Word</group>
      <groupName>字词问题</groupName>
      <ability>L2_Typo</ability>
      <abilityName>字词错误</abilityName>
      <candidateList>
        <item>、不</item>
      </candidateList>
      <explain/>
      <paraID> CB8FFB5</paraID>
      <start>23</start>
      <end>24</end>
      <status>unmodified</status>
      <modifiedWord/>
      <trackRevisions>false</trackRevisions>
    </reviewItem>
    <reviewItem>
      <errorID>084621f9-8973-445e-8fa5-253c019fe18a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CC613D7</paraID>
      <start>0</start>
      <end>2</end>
      <status>unmodified</status>
      <modifiedWord/>
      <trackRevisions>false</trackRevisions>
    </reviewItem>
    <reviewItem>
      <errorID>f065eb8f-d6c5-4ab7-9df6-a193ee39c721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32FAC53C</paraID>
      <start>0</start>
      <end>2</end>
      <status>unmodified</status>
      <modifiedWord/>
      <trackRevisions>false</trackRevisions>
    </reviewItem>
    <reviewItem>
      <errorID>665de179-6482-4cda-b8b8-35b06711865b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47159B68</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b494a-3143-4d07-92a1-1487d6d0e8ac}">
  <ds:schemaRefs/>
</ds:datastoreItem>
</file>

<file path=docProps/app.xml><?xml version="1.0" encoding="utf-8"?>
<Properties xmlns="http://schemas.openxmlformats.org/officeDocument/2006/extended-properties" xmlns:vt="http://schemas.openxmlformats.org/officeDocument/2006/docPropsVTypes">
  <Pages>11</Pages>
  <Words>5367</Words>
  <Characters>5442</Characters>
  <TotalTime>51</TotalTime>
  <ScaleCrop>false</ScaleCrop>
  <LinksUpToDate>false</LinksUpToDate>
  <CharactersWithSpaces>5451</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2025-11-07T07:04:00Z</dcterms:created>
  <dc:creator>Un-named</dc:creator>
  <cp:lastModifiedBy>拉钩为什么要上吊</cp:lastModifiedBy>
  <cp:lastPrinted>2025-11-29T08:52:00Z</cp:lastPrinted>
  <dcterms:modified xsi:type="dcterms:W3CDTF">2026-01-06T01:45:05Z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eyJoZGlkIjoiY2E0NDU1ODk5ZTc1YzY0N2VkOWY0NDE2MmIwYTJjY2UiLCJ1c2VySWQiOiIyOTc0MzcxNzcifQ==</vt:lpwstr>
  </property>
  <property fmtid="{D5CDD505-2E9C-101B-9397-08002B2CF9AE}" pid="3" name="KSOProductBuildVer">
    <vt:lpwstr>2052-12.1.0.24034</vt:lpwstr>
  </property>
  <property fmtid="{D5CDD505-2E9C-101B-9397-08002B2CF9AE}" pid="4" name="ICV">
    <vt:lpwstr>58B562E8F43B44A6BE8F489B1891D2CE_12</vt:lpwstr>
  </property>
</Properties>
</file>